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8EE5" w14:textId="58A59C35" w:rsidR="008163DA" w:rsidRDefault="008163DA" w:rsidP="008163DA">
      <w:pPr>
        <w:pStyle w:val="Footer"/>
        <w:jc w:val="right"/>
      </w:pPr>
    </w:p>
    <w:p w14:paraId="1E19AEFA" w14:textId="77777777" w:rsidR="008163DA" w:rsidRDefault="008163DA" w:rsidP="008163DA">
      <w:pPr>
        <w:rPr>
          <w:i/>
          <w:lang w:val="en-AU"/>
        </w:rPr>
      </w:pPr>
      <w:r w:rsidRPr="00540905">
        <w:rPr>
          <w:i/>
          <w:lang w:val="en-AU"/>
        </w:rPr>
        <w:t xml:space="preserve"> </w:t>
      </w:r>
    </w:p>
    <w:p w14:paraId="0ED83F99" w14:textId="235A8A27" w:rsidR="00714019" w:rsidRPr="008F6228" w:rsidRDefault="0096604D" w:rsidP="00714019">
      <w:pPr>
        <w:jc w:val="both"/>
        <w:rPr>
          <w:szCs w:val="24"/>
        </w:rPr>
      </w:pPr>
      <w:r>
        <w:rPr>
          <w:szCs w:val="24"/>
        </w:rPr>
        <w:t>24</w:t>
      </w:r>
      <w:r w:rsidR="0001095E">
        <w:rPr>
          <w:szCs w:val="24"/>
        </w:rPr>
        <w:t xml:space="preserve"> Ju</w:t>
      </w:r>
      <w:r w:rsidR="009E1684">
        <w:rPr>
          <w:szCs w:val="24"/>
        </w:rPr>
        <w:t>ly</w:t>
      </w:r>
      <w:r w:rsidR="00714019" w:rsidRPr="008F6228">
        <w:rPr>
          <w:szCs w:val="24"/>
        </w:rPr>
        <w:t xml:space="preserve"> 201</w:t>
      </w:r>
      <w:r w:rsidR="00714019">
        <w:rPr>
          <w:szCs w:val="24"/>
        </w:rPr>
        <w:t>9</w:t>
      </w:r>
    </w:p>
    <w:p w14:paraId="190C9525" w14:textId="77777777" w:rsidR="00714019" w:rsidRPr="008F6228" w:rsidRDefault="00714019" w:rsidP="00714019">
      <w:pPr>
        <w:rPr>
          <w:szCs w:val="24"/>
        </w:rPr>
      </w:pPr>
    </w:p>
    <w:p w14:paraId="5CE9348A" w14:textId="2BB39092" w:rsidR="00714019" w:rsidRPr="008F6228" w:rsidRDefault="009E1684" w:rsidP="00714019">
      <w:pPr>
        <w:rPr>
          <w:szCs w:val="24"/>
        </w:rPr>
      </w:pPr>
      <w:r>
        <w:rPr>
          <w:szCs w:val="24"/>
        </w:rPr>
        <w:t>To whom it concerns,</w:t>
      </w:r>
    </w:p>
    <w:p w14:paraId="799179E8" w14:textId="77777777" w:rsidR="00714019" w:rsidRPr="008F6228" w:rsidRDefault="00714019" w:rsidP="00714019"/>
    <w:p w14:paraId="5CFEA913" w14:textId="77777777" w:rsidR="00714019" w:rsidRDefault="00714019" w:rsidP="00714019">
      <w:pPr>
        <w:rPr>
          <w:b/>
          <w:szCs w:val="24"/>
        </w:rPr>
      </w:pPr>
    </w:p>
    <w:p w14:paraId="06FB1E9F" w14:textId="67752ACC" w:rsidR="00714019" w:rsidRPr="006303E0" w:rsidRDefault="00714019" w:rsidP="009E1684">
      <w:pPr>
        <w:rPr>
          <w:b/>
          <w:szCs w:val="24"/>
        </w:rPr>
      </w:pPr>
      <w:r w:rsidRPr="008F6228">
        <w:rPr>
          <w:b/>
          <w:szCs w:val="24"/>
        </w:rPr>
        <w:t>RE:</w:t>
      </w:r>
      <w:r w:rsidRPr="008F6228">
        <w:rPr>
          <w:b/>
          <w:szCs w:val="24"/>
        </w:rPr>
        <w:tab/>
      </w:r>
      <w:r w:rsidR="009E1684">
        <w:rPr>
          <w:b/>
          <w:szCs w:val="24"/>
        </w:rPr>
        <w:t xml:space="preserve">Labelling exemption to allow release of Australian registered stock of </w:t>
      </w:r>
      <w:r w:rsidRPr="006303E0">
        <w:rPr>
          <w:b/>
          <w:szCs w:val="24"/>
        </w:rPr>
        <w:t xml:space="preserve">SYNACTHEN Solution for Injection </w:t>
      </w:r>
      <w:r w:rsidR="009E1684">
        <w:rPr>
          <w:b/>
          <w:szCs w:val="24"/>
        </w:rPr>
        <w:t xml:space="preserve">0.25 </w:t>
      </w:r>
      <w:r w:rsidRPr="006303E0">
        <w:rPr>
          <w:b/>
          <w:szCs w:val="24"/>
        </w:rPr>
        <w:t xml:space="preserve">mg/1mL </w:t>
      </w:r>
      <w:r w:rsidR="009E1684">
        <w:rPr>
          <w:b/>
          <w:szCs w:val="24"/>
        </w:rPr>
        <w:t>to New Zealand.</w:t>
      </w:r>
    </w:p>
    <w:p w14:paraId="6AD2631F" w14:textId="77777777" w:rsidR="00714019" w:rsidRPr="008F6228" w:rsidRDefault="00714019" w:rsidP="00714019">
      <w:pPr>
        <w:rPr>
          <w:szCs w:val="24"/>
        </w:rPr>
      </w:pPr>
    </w:p>
    <w:p w14:paraId="475F779E" w14:textId="4F2B58B8" w:rsidR="004F791C" w:rsidRDefault="00714019" w:rsidP="00714019">
      <w:pPr>
        <w:jc w:val="both"/>
        <w:rPr>
          <w:szCs w:val="24"/>
        </w:rPr>
      </w:pPr>
      <w:r w:rsidRPr="008F6228">
        <w:rPr>
          <w:szCs w:val="24"/>
        </w:rPr>
        <w:t xml:space="preserve">Juno Pharmaceuticals NZ Ltd is </w:t>
      </w:r>
      <w:r w:rsidR="009E1684">
        <w:rPr>
          <w:szCs w:val="24"/>
        </w:rPr>
        <w:t>the sponsor for Synacthen solution for injection 0.25 mg/1</w:t>
      </w:r>
      <w:r w:rsidR="00A84C4F">
        <w:rPr>
          <w:szCs w:val="24"/>
        </w:rPr>
        <w:t xml:space="preserve"> </w:t>
      </w:r>
      <w:r w:rsidR="009E1684">
        <w:rPr>
          <w:szCs w:val="24"/>
        </w:rPr>
        <w:t xml:space="preserve">mL </w:t>
      </w:r>
      <w:r w:rsidR="004F791C">
        <w:rPr>
          <w:szCs w:val="24"/>
        </w:rPr>
        <w:t xml:space="preserve">in New Zealand and Australia. This product is distributed by Link </w:t>
      </w:r>
      <w:r w:rsidR="00A84C4F">
        <w:rPr>
          <w:szCs w:val="24"/>
        </w:rPr>
        <w:t>H</w:t>
      </w:r>
      <w:r w:rsidR="004F791C">
        <w:rPr>
          <w:szCs w:val="24"/>
        </w:rPr>
        <w:t>ealthcare in both markets.</w:t>
      </w:r>
    </w:p>
    <w:p w14:paraId="33E0910E" w14:textId="77777777" w:rsidR="004F791C" w:rsidRDefault="004F791C" w:rsidP="00714019">
      <w:pPr>
        <w:jc w:val="both"/>
        <w:rPr>
          <w:szCs w:val="24"/>
        </w:rPr>
      </w:pPr>
    </w:p>
    <w:p w14:paraId="38E6413E" w14:textId="04801A03" w:rsidR="004F791C" w:rsidRDefault="004F791C" w:rsidP="00714019">
      <w:pPr>
        <w:jc w:val="both"/>
        <w:rPr>
          <w:szCs w:val="24"/>
        </w:rPr>
      </w:pPr>
      <w:r>
        <w:rPr>
          <w:szCs w:val="24"/>
        </w:rPr>
        <w:t>At the request of Link Healthcare and PHARMAC, Juno submitted a labelling exemption to Medsafe to allow for the release of Australian registered stock to New Zealand to mitigate a medicine shortage of New Zealand registered stock.</w:t>
      </w:r>
    </w:p>
    <w:p w14:paraId="625E3FD2" w14:textId="77777777" w:rsidR="004F791C" w:rsidRDefault="004F791C" w:rsidP="00714019">
      <w:pPr>
        <w:jc w:val="both"/>
        <w:rPr>
          <w:szCs w:val="24"/>
        </w:rPr>
      </w:pPr>
    </w:p>
    <w:p w14:paraId="2431804B" w14:textId="416E5599" w:rsidR="00714019" w:rsidRDefault="004F791C" w:rsidP="00714019">
      <w:pPr>
        <w:jc w:val="both"/>
        <w:rPr>
          <w:szCs w:val="24"/>
        </w:rPr>
      </w:pPr>
      <w:r>
        <w:rPr>
          <w:szCs w:val="24"/>
        </w:rPr>
        <w:t xml:space="preserve">The labelling exemption was granted on 11 July 2019 and is valid until 10 July 2021. The labelling exemption is also valid for batch </w:t>
      </w:r>
      <w:r w:rsidRPr="004F791C">
        <w:rPr>
          <w:szCs w:val="24"/>
        </w:rPr>
        <w:t>C19011</w:t>
      </w:r>
      <w:r>
        <w:rPr>
          <w:szCs w:val="24"/>
        </w:rPr>
        <w:t>of Synacthen</w:t>
      </w:r>
      <w:r w:rsidR="003126EF" w:rsidRPr="003126EF">
        <w:rPr>
          <w:szCs w:val="24"/>
        </w:rPr>
        <w:t xml:space="preserve"> </w:t>
      </w:r>
      <w:r w:rsidR="003126EF">
        <w:rPr>
          <w:szCs w:val="24"/>
        </w:rPr>
        <w:t>only</w:t>
      </w:r>
      <w:r>
        <w:rPr>
          <w:szCs w:val="24"/>
        </w:rPr>
        <w:t xml:space="preserve">. </w:t>
      </w:r>
    </w:p>
    <w:p w14:paraId="1A13839B" w14:textId="77777777" w:rsidR="00714019" w:rsidRPr="008F6228" w:rsidRDefault="00714019" w:rsidP="00714019">
      <w:pPr>
        <w:jc w:val="both"/>
      </w:pPr>
    </w:p>
    <w:p w14:paraId="3D5F39B0" w14:textId="4CF77265" w:rsidR="003C7B7E" w:rsidRDefault="003126EF" w:rsidP="006303E0">
      <w:pPr>
        <w:pStyle w:val="ListParagraph"/>
        <w:spacing w:after="120"/>
        <w:ind w:left="0"/>
        <w:jc w:val="both"/>
        <w:rPr>
          <w:szCs w:val="24"/>
        </w:rPr>
      </w:pPr>
      <w:r>
        <w:rPr>
          <w:szCs w:val="24"/>
        </w:rPr>
        <w:t>With respect to differences between the product registered in Australia and New Zealand, the products are identical with respect to manufacturing</w:t>
      </w:r>
      <w:r w:rsidR="003C7B7E">
        <w:rPr>
          <w:szCs w:val="24"/>
        </w:rPr>
        <w:t xml:space="preserve"> and</w:t>
      </w:r>
      <w:r>
        <w:rPr>
          <w:szCs w:val="24"/>
        </w:rPr>
        <w:t xml:space="preserve"> testing</w:t>
      </w:r>
      <w:r w:rsidR="003C7B7E">
        <w:rPr>
          <w:szCs w:val="24"/>
        </w:rPr>
        <w:t>. With respect to packaging</w:t>
      </w:r>
      <w:r w:rsidR="00C37C06">
        <w:rPr>
          <w:szCs w:val="24"/>
        </w:rPr>
        <w:t xml:space="preserve">, </w:t>
      </w:r>
      <w:r w:rsidR="003C7B7E">
        <w:rPr>
          <w:szCs w:val="24"/>
        </w:rPr>
        <w:t>labelling</w:t>
      </w:r>
      <w:r w:rsidR="00C37C06">
        <w:rPr>
          <w:szCs w:val="24"/>
        </w:rPr>
        <w:t xml:space="preserve"> and product ordering description</w:t>
      </w:r>
      <w:r w:rsidR="003C7B7E">
        <w:rPr>
          <w:szCs w:val="24"/>
        </w:rPr>
        <w:t>, the following differences are apparent:</w:t>
      </w:r>
    </w:p>
    <w:p w14:paraId="7A5FABD9" w14:textId="4350AB01" w:rsidR="003C7B7E" w:rsidRDefault="003C7B7E" w:rsidP="006303E0">
      <w:pPr>
        <w:pStyle w:val="ListParagraph"/>
        <w:spacing w:after="120"/>
        <w:ind w:left="0"/>
        <w:jc w:val="both"/>
        <w:rPr>
          <w:szCs w:val="24"/>
        </w:rPr>
      </w:pPr>
    </w:p>
    <w:tbl>
      <w:tblPr>
        <w:tblStyle w:val="TableGrid"/>
        <w:tblW w:w="0" w:type="auto"/>
        <w:tblInd w:w="-5" w:type="dxa"/>
        <w:tblLook w:val="04A0" w:firstRow="1" w:lastRow="0" w:firstColumn="1" w:lastColumn="0" w:noHBand="0" w:noVBand="1"/>
      </w:tblPr>
      <w:tblGrid>
        <w:gridCol w:w="3007"/>
        <w:gridCol w:w="3007"/>
        <w:gridCol w:w="3007"/>
      </w:tblGrid>
      <w:tr w:rsidR="003C7B7E" w:rsidRPr="003E3671" w14:paraId="7C5E3B24" w14:textId="77777777" w:rsidTr="000F5B90">
        <w:tc>
          <w:tcPr>
            <w:tcW w:w="3007" w:type="dxa"/>
          </w:tcPr>
          <w:p w14:paraId="4D38165D" w14:textId="310888EC" w:rsidR="003C7B7E" w:rsidRPr="003E3671" w:rsidRDefault="003C7B7E" w:rsidP="00A67EAE">
            <w:pPr>
              <w:rPr>
                <w:b/>
              </w:rPr>
            </w:pPr>
          </w:p>
        </w:tc>
        <w:tc>
          <w:tcPr>
            <w:tcW w:w="3007" w:type="dxa"/>
          </w:tcPr>
          <w:p w14:paraId="7BBEBBA2" w14:textId="77777777" w:rsidR="003C7B7E" w:rsidRPr="003E3671" w:rsidRDefault="003C7B7E" w:rsidP="00A67EAE">
            <w:pPr>
              <w:rPr>
                <w:b/>
              </w:rPr>
            </w:pPr>
            <w:r w:rsidRPr="003E3671">
              <w:rPr>
                <w:b/>
              </w:rPr>
              <w:t>New Zealand product</w:t>
            </w:r>
          </w:p>
        </w:tc>
        <w:tc>
          <w:tcPr>
            <w:tcW w:w="3007" w:type="dxa"/>
          </w:tcPr>
          <w:p w14:paraId="5F312B7D" w14:textId="77777777" w:rsidR="003C7B7E" w:rsidRPr="003E3671" w:rsidRDefault="003C7B7E" w:rsidP="00A67EAE">
            <w:pPr>
              <w:rPr>
                <w:b/>
              </w:rPr>
            </w:pPr>
            <w:r w:rsidRPr="003E3671">
              <w:rPr>
                <w:b/>
              </w:rPr>
              <w:t>Australian product</w:t>
            </w:r>
          </w:p>
        </w:tc>
      </w:tr>
      <w:tr w:rsidR="00C37C06" w:rsidRPr="003E3671" w14:paraId="03E48EC3" w14:textId="77777777" w:rsidTr="000F5B90">
        <w:tc>
          <w:tcPr>
            <w:tcW w:w="3007" w:type="dxa"/>
          </w:tcPr>
          <w:p w14:paraId="6F2C541F" w14:textId="72E32425" w:rsidR="00C37C06" w:rsidRPr="00B27BD8" w:rsidRDefault="00C37C06" w:rsidP="00A67EAE">
            <w:pPr>
              <w:rPr>
                <w:b/>
              </w:rPr>
            </w:pPr>
            <w:r>
              <w:rPr>
                <w:b/>
              </w:rPr>
              <w:t>Product Ordering Descriptions</w:t>
            </w:r>
          </w:p>
        </w:tc>
        <w:tc>
          <w:tcPr>
            <w:tcW w:w="3007" w:type="dxa"/>
          </w:tcPr>
          <w:p w14:paraId="6FF9F685" w14:textId="77777777" w:rsidR="00C37C06" w:rsidRDefault="00C37C06" w:rsidP="00A67EAE">
            <w:pPr>
              <w:rPr>
                <w:b/>
              </w:rPr>
            </w:pPr>
          </w:p>
          <w:p w14:paraId="12A4250C" w14:textId="0AD40E00" w:rsidR="00C37C06" w:rsidRPr="003E3671" w:rsidRDefault="00C37C06" w:rsidP="00A67EAE">
            <w:pPr>
              <w:rPr>
                <w:b/>
              </w:rPr>
            </w:pPr>
            <w:r>
              <w:rPr>
                <w:b/>
              </w:rPr>
              <w:t>Unavailable</w:t>
            </w:r>
          </w:p>
        </w:tc>
        <w:tc>
          <w:tcPr>
            <w:tcW w:w="3007" w:type="dxa"/>
          </w:tcPr>
          <w:p w14:paraId="34BCD4BE" w14:textId="354434FC" w:rsidR="00C313A6" w:rsidRDefault="00C313A6" w:rsidP="00C313A6">
            <w:r>
              <w:t xml:space="preserve">LHC Code 102060 </w:t>
            </w:r>
          </w:p>
          <w:p w14:paraId="3391AF3C" w14:textId="16862EC4" w:rsidR="00C313A6" w:rsidRDefault="00C313A6" w:rsidP="00C313A6">
            <w:pPr>
              <w:rPr>
                <w:sz w:val="22"/>
                <w:lang w:val="en-AU"/>
              </w:rPr>
            </w:pPr>
            <w:r>
              <w:t>AU Synacthen 0.25mg/1mL (Tetracosactrin) amp x 1</w:t>
            </w:r>
          </w:p>
          <w:p w14:paraId="552B3C13" w14:textId="77777777" w:rsidR="00C37C06" w:rsidRDefault="00C37C06" w:rsidP="00A67EAE">
            <w:pPr>
              <w:rPr>
                <w:b/>
              </w:rPr>
            </w:pPr>
          </w:p>
          <w:p w14:paraId="11253892" w14:textId="77777777" w:rsidR="00C37C06" w:rsidRDefault="00C37C06" w:rsidP="00A67EAE">
            <w:pPr>
              <w:rPr>
                <w:b/>
              </w:rPr>
            </w:pPr>
            <w:r>
              <w:rPr>
                <w:b/>
              </w:rPr>
              <w:t>Available</w:t>
            </w:r>
          </w:p>
          <w:p w14:paraId="3E2DF388" w14:textId="676E64FD" w:rsidR="007E0F7D" w:rsidRPr="003E3671" w:rsidRDefault="007E0F7D" w:rsidP="00A67EAE">
            <w:pPr>
              <w:rPr>
                <w:b/>
              </w:rPr>
            </w:pPr>
          </w:p>
        </w:tc>
      </w:tr>
      <w:tr w:rsidR="003C7B7E" w:rsidRPr="003E3671" w14:paraId="77A3CC44" w14:textId="77777777" w:rsidTr="000F5B90">
        <w:tc>
          <w:tcPr>
            <w:tcW w:w="3007" w:type="dxa"/>
          </w:tcPr>
          <w:p w14:paraId="2F7EECE5" w14:textId="2428C63C" w:rsidR="003C7B7E" w:rsidRPr="00B27BD8" w:rsidRDefault="003C7B7E" w:rsidP="00A67EAE">
            <w:pPr>
              <w:rPr>
                <w:b/>
              </w:rPr>
            </w:pPr>
            <w:r w:rsidRPr="00B27BD8">
              <w:rPr>
                <w:b/>
              </w:rPr>
              <w:t>Label</w:t>
            </w:r>
          </w:p>
        </w:tc>
        <w:tc>
          <w:tcPr>
            <w:tcW w:w="3007" w:type="dxa"/>
          </w:tcPr>
          <w:p w14:paraId="3352CFA7" w14:textId="77777777" w:rsidR="003C7B7E" w:rsidRPr="003E3671" w:rsidRDefault="003C7B7E" w:rsidP="00A67EAE">
            <w:pPr>
              <w:rPr>
                <w:b/>
              </w:rPr>
            </w:pPr>
          </w:p>
        </w:tc>
        <w:tc>
          <w:tcPr>
            <w:tcW w:w="3007" w:type="dxa"/>
          </w:tcPr>
          <w:p w14:paraId="0AF517EE" w14:textId="77777777" w:rsidR="003C7B7E" w:rsidRPr="003E3671" w:rsidRDefault="003C7B7E" w:rsidP="00A67EAE">
            <w:pPr>
              <w:rPr>
                <w:b/>
              </w:rPr>
            </w:pPr>
          </w:p>
        </w:tc>
      </w:tr>
      <w:tr w:rsidR="003C7B7E" w:rsidRPr="003E3671" w14:paraId="769CF0AC" w14:textId="77777777" w:rsidTr="000F5B90">
        <w:tc>
          <w:tcPr>
            <w:tcW w:w="3007" w:type="dxa"/>
          </w:tcPr>
          <w:p w14:paraId="460FC106" w14:textId="4B49BDA8" w:rsidR="003C7B7E" w:rsidRPr="003E3671" w:rsidRDefault="003C7B7E" w:rsidP="00A67EAE">
            <w:r>
              <w:t>Route of administration</w:t>
            </w:r>
          </w:p>
        </w:tc>
        <w:tc>
          <w:tcPr>
            <w:tcW w:w="3007" w:type="dxa"/>
          </w:tcPr>
          <w:p w14:paraId="656CE136" w14:textId="667B9082" w:rsidR="003C7B7E" w:rsidRPr="003E3671" w:rsidRDefault="003C7B7E" w:rsidP="00A67EAE">
            <w:r>
              <w:t>States I</w:t>
            </w:r>
            <w:r w:rsidR="003A6C87">
              <w:t>.</w:t>
            </w:r>
            <w:r>
              <w:t>M</w:t>
            </w:r>
            <w:r w:rsidR="003A6C87">
              <w:t>.</w:t>
            </w:r>
            <w:r>
              <w:t xml:space="preserve"> and I</w:t>
            </w:r>
            <w:r w:rsidR="003A6C87">
              <w:t>.</w:t>
            </w:r>
            <w:r>
              <w:t>V</w:t>
            </w:r>
            <w:r w:rsidR="003A6C87">
              <w:t>.</w:t>
            </w:r>
            <w:r>
              <w:t xml:space="preserve"> only</w:t>
            </w:r>
          </w:p>
        </w:tc>
        <w:tc>
          <w:tcPr>
            <w:tcW w:w="3007" w:type="dxa"/>
          </w:tcPr>
          <w:p w14:paraId="1D08D340" w14:textId="006F26AF" w:rsidR="003C7B7E" w:rsidRPr="003E3671" w:rsidRDefault="003C7B7E" w:rsidP="00A67EAE">
            <w:r>
              <w:t>States I</w:t>
            </w:r>
            <w:r w:rsidR="003A6C87">
              <w:t>.</w:t>
            </w:r>
            <w:r>
              <w:t>M</w:t>
            </w:r>
            <w:r w:rsidR="003A6C87">
              <w:t>.</w:t>
            </w:r>
            <w:r>
              <w:t xml:space="preserve"> only</w:t>
            </w:r>
          </w:p>
        </w:tc>
      </w:tr>
      <w:tr w:rsidR="003C7B7E" w:rsidRPr="003E3671" w14:paraId="162DCA1D" w14:textId="77777777" w:rsidTr="000F5B90">
        <w:tc>
          <w:tcPr>
            <w:tcW w:w="3007" w:type="dxa"/>
          </w:tcPr>
          <w:p w14:paraId="432E9641" w14:textId="77777777" w:rsidR="003C7B7E" w:rsidRPr="003E3671" w:rsidRDefault="003C7B7E" w:rsidP="00A67EAE">
            <w:pPr>
              <w:rPr>
                <w:b/>
              </w:rPr>
            </w:pPr>
            <w:r>
              <w:rPr>
                <w:b/>
              </w:rPr>
              <w:t>Carton</w:t>
            </w:r>
          </w:p>
        </w:tc>
        <w:tc>
          <w:tcPr>
            <w:tcW w:w="3007" w:type="dxa"/>
          </w:tcPr>
          <w:p w14:paraId="6D471766" w14:textId="2CFC0376" w:rsidR="003C7B7E" w:rsidRPr="003E3671" w:rsidRDefault="003C7B7E" w:rsidP="00A67EAE">
            <w:pPr>
              <w:rPr>
                <w:b/>
              </w:rPr>
            </w:pPr>
          </w:p>
        </w:tc>
        <w:tc>
          <w:tcPr>
            <w:tcW w:w="3007" w:type="dxa"/>
          </w:tcPr>
          <w:p w14:paraId="5B599173" w14:textId="66FDADA8" w:rsidR="003C7B7E" w:rsidRPr="003E3671" w:rsidRDefault="003C7B7E" w:rsidP="00A67EAE">
            <w:pPr>
              <w:rPr>
                <w:b/>
              </w:rPr>
            </w:pPr>
          </w:p>
        </w:tc>
      </w:tr>
      <w:tr w:rsidR="003C7B7E" w:rsidRPr="003E3671" w14:paraId="2E94C476" w14:textId="77777777" w:rsidTr="000F5B90">
        <w:tc>
          <w:tcPr>
            <w:tcW w:w="3007" w:type="dxa"/>
          </w:tcPr>
          <w:p w14:paraId="75AF6C22" w14:textId="77777777" w:rsidR="003C7B7E" w:rsidRPr="003E3671" w:rsidRDefault="003C7B7E" w:rsidP="00A67EAE">
            <w:r>
              <w:t>Route of administration</w:t>
            </w:r>
          </w:p>
        </w:tc>
        <w:tc>
          <w:tcPr>
            <w:tcW w:w="3007" w:type="dxa"/>
          </w:tcPr>
          <w:p w14:paraId="65D45DFE" w14:textId="1EF7080A" w:rsidR="003C7B7E" w:rsidRPr="003E3671" w:rsidRDefault="003C7B7E" w:rsidP="00A67EAE">
            <w:r>
              <w:t>States I</w:t>
            </w:r>
            <w:r w:rsidR="003A6C87">
              <w:t>.</w:t>
            </w:r>
            <w:r>
              <w:t>M</w:t>
            </w:r>
            <w:r w:rsidR="003A6C87">
              <w:t>.</w:t>
            </w:r>
            <w:r>
              <w:t xml:space="preserve"> and I</w:t>
            </w:r>
            <w:r w:rsidR="003A6C87">
              <w:t>.</w:t>
            </w:r>
            <w:r>
              <w:t>V</w:t>
            </w:r>
            <w:r w:rsidR="003A6C87">
              <w:t>.</w:t>
            </w:r>
            <w:r>
              <w:t xml:space="preserve"> only</w:t>
            </w:r>
          </w:p>
        </w:tc>
        <w:tc>
          <w:tcPr>
            <w:tcW w:w="3007" w:type="dxa"/>
          </w:tcPr>
          <w:p w14:paraId="1F26CD0A" w14:textId="7EF8DBCC" w:rsidR="003C7B7E" w:rsidRPr="003E3671" w:rsidRDefault="003C7B7E" w:rsidP="00A67EAE">
            <w:r>
              <w:t>States I</w:t>
            </w:r>
            <w:r w:rsidR="003A6C87">
              <w:t>.</w:t>
            </w:r>
            <w:r>
              <w:t>M</w:t>
            </w:r>
            <w:r w:rsidR="003A6C87">
              <w:t>.</w:t>
            </w:r>
            <w:r>
              <w:t xml:space="preserve"> only</w:t>
            </w:r>
          </w:p>
        </w:tc>
      </w:tr>
      <w:tr w:rsidR="003C7B7E" w:rsidRPr="003E3671" w14:paraId="21563168" w14:textId="77777777" w:rsidTr="000F5B90">
        <w:tc>
          <w:tcPr>
            <w:tcW w:w="3007" w:type="dxa"/>
          </w:tcPr>
          <w:p w14:paraId="0237ABFD" w14:textId="4CBBE401" w:rsidR="003C7B7E" w:rsidRDefault="003C7B7E" w:rsidP="00A67EAE">
            <w:r>
              <w:t>Market</w:t>
            </w:r>
          </w:p>
        </w:tc>
        <w:tc>
          <w:tcPr>
            <w:tcW w:w="3007" w:type="dxa"/>
          </w:tcPr>
          <w:p w14:paraId="2CCDBD36" w14:textId="01E330B4" w:rsidR="003C7B7E" w:rsidRDefault="003C7B7E" w:rsidP="00A67EAE">
            <w:r>
              <w:t>Multi country</w:t>
            </w:r>
          </w:p>
        </w:tc>
        <w:tc>
          <w:tcPr>
            <w:tcW w:w="3007" w:type="dxa"/>
          </w:tcPr>
          <w:p w14:paraId="6BE09237" w14:textId="3D4EA757" w:rsidR="003C7B7E" w:rsidRDefault="003C7B7E" w:rsidP="00A67EAE">
            <w:r>
              <w:t>Australia only</w:t>
            </w:r>
          </w:p>
        </w:tc>
      </w:tr>
      <w:tr w:rsidR="003C7B7E" w:rsidRPr="003E3671" w14:paraId="77356EC7" w14:textId="77777777" w:rsidTr="000F5B90">
        <w:tc>
          <w:tcPr>
            <w:tcW w:w="3007" w:type="dxa"/>
          </w:tcPr>
          <w:p w14:paraId="15F6E669" w14:textId="09D24A52" w:rsidR="003C7B7E" w:rsidRDefault="003C7B7E" w:rsidP="00A67EAE">
            <w:r>
              <w:t>Language</w:t>
            </w:r>
          </w:p>
        </w:tc>
        <w:tc>
          <w:tcPr>
            <w:tcW w:w="3007" w:type="dxa"/>
          </w:tcPr>
          <w:p w14:paraId="3BF2051D" w14:textId="1C0BC6EF" w:rsidR="003C7B7E" w:rsidRDefault="003C7B7E" w:rsidP="00A67EAE">
            <w:r>
              <w:t>English, Italian, French</w:t>
            </w:r>
          </w:p>
        </w:tc>
        <w:tc>
          <w:tcPr>
            <w:tcW w:w="3007" w:type="dxa"/>
          </w:tcPr>
          <w:p w14:paraId="4EBB0180" w14:textId="5456C4AA" w:rsidR="003C7B7E" w:rsidRDefault="003C7B7E" w:rsidP="00A67EAE">
            <w:r>
              <w:t>English only</w:t>
            </w:r>
          </w:p>
        </w:tc>
      </w:tr>
      <w:tr w:rsidR="003C7B7E" w:rsidRPr="00D772BC" w14:paraId="622577B6" w14:textId="77777777" w:rsidTr="000F5B90">
        <w:tc>
          <w:tcPr>
            <w:tcW w:w="3007" w:type="dxa"/>
          </w:tcPr>
          <w:p w14:paraId="14A5807C" w14:textId="580C9308" w:rsidR="003C7B7E" w:rsidRPr="00D772BC" w:rsidRDefault="000F5B90" w:rsidP="000F5B90">
            <w:pPr>
              <w:rPr>
                <w:b/>
              </w:rPr>
            </w:pPr>
            <w:r>
              <w:rPr>
                <w:b/>
              </w:rPr>
              <w:t>Leaflet</w:t>
            </w:r>
          </w:p>
        </w:tc>
        <w:tc>
          <w:tcPr>
            <w:tcW w:w="3007" w:type="dxa"/>
          </w:tcPr>
          <w:p w14:paraId="2C3ECB85" w14:textId="20158E29" w:rsidR="003C7B7E" w:rsidRPr="00D772BC" w:rsidRDefault="003C7B7E" w:rsidP="00A67EAE">
            <w:pPr>
              <w:jc w:val="center"/>
              <w:rPr>
                <w:b/>
              </w:rPr>
            </w:pPr>
          </w:p>
        </w:tc>
        <w:tc>
          <w:tcPr>
            <w:tcW w:w="3007" w:type="dxa"/>
          </w:tcPr>
          <w:p w14:paraId="0012892F" w14:textId="75718C05" w:rsidR="003C7B7E" w:rsidRPr="00D772BC" w:rsidRDefault="003C7B7E" w:rsidP="00A67EAE">
            <w:pPr>
              <w:jc w:val="center"/>
              <w:rPr>
                <w:b/>
              </w:rPr>
            </w:pPr>
          </w:p>
        </w:tc>
      </w:tr>
      <w:tr w:rsidR="003C7B7E" w14:paraId="0C07D3B6" w14:textId="77777777" w:rsidTr="000F5B90">
        <w:tc>
          <w:tcPr>
            <w:tcW w:w="3007" w:type="dxa"/>
          </w:tcPr>
          <w:p w14:paraId="526E5E54" w14:textId="77777777" w:rsidR="003C7B7E" w:rsidRDefault="003C7B7E" w:rsidP="000F5B90">
            <w:r>
              <w:t>Indication</w:t>
            </w:r>
          </w:p>
        </w:tc>
        <w:tc>
          <w:tcPr>
            <w:tcW w:w="3007" w:type="dxa"/>
          </w:tcPr>
          <w:p w14:paraId="6F25A27E" w14:textId="77777777" w:rsidR="003C7B7E" w:rsidRPr="000C766A" w:rsidRDefault="003C7B7E" w:rsidP="00A67EAE">
            <w:r w:rsidRPr="000C766A">
              <w:t>For the investigation of adrenocortical insufficiency</w:t>
            </w:r>
          </w:p>
          <w:p w14:paraId="11D79DC8" w14:textId="29754020" w:rsidR="003C7B7E" w:rsidRPr="000C766A" w:rsidRDefault="003C7B7E" w:rsidP="00A67EAE">
            <w:r w:rsidRPr="000C766A">
              <w:t xml:space="preserve">As an alternative to Synacthen Depot in the following indications where I.V. injection or infusion of </w:t>
            </w:r>
            <w:r w:rsidRPr="000C766A">
              <w:lastRenderedPageBreak/>
              <w:t xml:space="preserve">tetracosactide is preferable to </w:t>
            </w:r>
            <w:r w:rsidR="003A6C87">
              <w:t>I</w:t>
            </w:r>
            <w:r w:rsidRPr="000C766A">
              <w:t>.</w:t>
            </w:r>
            <w:r w:rsidR="003A6C87">
              <w:t>M</w:t>
            </w:r>
            <w:r w:rsidRPr="000C766A">
              <w:t>. injection</w:t>
            </w:r>
          </w:p>
          <w:p w14:paraId="17CCCB9D" w14:textId="1229DF19" w:rsidR="003C7B7E" w:rsidRPr="000C766A" w:rsidRDefault="003C7B7E" w:rsidP="00A67EAE">
            <w:r w:rsidRPr="000C766A">
              <w:t xml:space="preserve">Neurological </w:t>
            </w:r>
            <w:r w:rsidR="003A6C87" w:rsidRPr="000C766A">
              <w:t>diseases</w:t>
            </w:r>
            <w:r w:rsidRPr="000C766A">
              <w:t>:</w:t>
            </w:r>
          </w:p>
          <w:p w14:paraId="26AC043A" w14:textId="6B6082E5" w:rsidR="003C7B7E" w:rsidRPr="000C766A" w:rsidRDefault="003C7B7E" w:rsidP="00A67EAE">
            <w:r w:rsidRPr="000C766A">
              <w:t xml:space="preserve">acute </w:t>
            </w:r>
            <w:r w:rsidR="003A6C87" w:rsidRPr="000C766A">
              <w:t>exacerbations</w:t>
            </w:r>
            <w:r w:rsidRPr="000C766A">
              <w:t xml:space="preserve"> in patients suffering from multiple sclerosis</w:t>
            </w:r>
          </w:p>
          <w:p w14:paraId="302AF5C5" w14:textId="7CC855EE" w:rsidR="003C7B7E" w:rsidRPr="000C766A" w:rsidRDefault="003C7B7E" w:rsidP="00A67EAE">
            <w:r w:rsidRPr="000C766A">
              <w:t xml:space="preserve">West syndrome (infantile </w:t>
            </w:r>
            <w:proofErr w:type="spellStart"/>
            <w:r w:rsidRPr="000C766A">
              <w:t>muoclonic</w:t>
            </w:r>
            <w:proofErr w:type="spellEnd"/>
            <w:r w:rsidRPr="000C766A">
              <w:t xml:space="preserve"> encephalopathy with </w:t>
            </w:r>
            <w:r>
              <w:t>h</w:t>
            </w:r>
            <w:r w:rsidRPr="000C766A">
              <w:t>ypsarrhythmia</w:t>
            </w:r>
            <w:r w:rsidR="003A6C87">
              <w:t>)</w:t>
            </w:r>
          </w:p>
          <w:p w14:paraId="7B235217" w14:textId="77777777" w:rsidR="003C7B7E" w:rsidRPr="000C766A" w:rsidRDefault="003C7B7E" w:rsidP="00A67EAE">
            <w:r w:rsidRPr="000C766A">
              <w:t>Rheumatic diseases:</w:t>
            </w:r>
          </w:p>
          <w:p w14:paraId="15114028" w14:textId="77777777" w:rsidR="003C7B7E" w:rsidRPr="000C766A" w:rsidRDefault="003C7B7E" w:rsidP="00A67EAE">
            <w:r w:rsidRPr="000C766A">
              <w:t>short-term therapy in conditions for which glucocorticoids are normally indicated; in</w:t>
            </w:r>
            <w:r>
              <w:t xml:space="preserve"> </w:t>
            </w:r>
            <w:r w:rsidRPr="000C766A">
              <w:t>patients showing poor gastrointestinal tolerance of oral glucocorticoids; where</w:t>
            </w:r>
          </w:p>
          <w:p w14:paraId="51D7057D" w14:textId="77777777" w:rsidR="003C7B7E" w:rsidRPr="000C766A" w:rsidRDefault="003C7B7E" w:rsidP="00A67EAE">
            <w:r w:rsidRPr="000C766A">
              <w:t>glucocorticoids in normal doses have not elicited an adequate response.</w:t>
            </w:r>
          </w:p>
          <w:p w14:paraId="40FA66C6" w14:textId="77777777" w:rsidR="003C7B7E" w:rsidRPr="000C766A" w:rsidRDefault="003C7B7E" w:rsidP="00A67EAE">
            <w:r w:rsidRPr="000C766A">
              <w:t>Skin diseases:</w:t>
            </w:r>
          </w:p>
          <w:p w14:paraId="61459604" w14:textId="77777777" w:rsidR="003C7B7E" w:rsidRPr="000C766A" w:rsidRDefault="003C7B7E" w:rsidP="00A67EAE">
            <w:r w:rsidRPr="000C766A">
              <w:t>Long-term treatment of skin disorders responsive to glucocorticoids - e.g. pemphigus,</w:t>
            </w:r>
          </w:p>
          <w:p w14:paraId="4598FA5C" w14:textId="77777777" w:rsidR="003C7B7E" w:rsidRPr="000C766A" w:rsidRDefault="003C7B7E" w:rsidP="00A67EAE">
            <w:r w:rsidRPr="000C766A">
              <w:t xml:space="preserve">severe chronic eczema, </w:t>
            </w:r>
            <w:proofErr w:type="spellStart"/>
            <w:r w:rsidRPr="000C766A">
              <w:t>erythrodermal</w:t>
            </w:r>
            <w:proofErr w:type="spellEnd"/>
            <w:r w:rsidRPr="000C766A">
              <w:t xml:space="preserve"> or pustular forms of psoriasis.</w:t>
            </w:r>
          </w:p>
          <w:p w14:paraId="18C96C46" w14:textId="77777777" w:rsidR="003C7B7E" w:rsidRPr="000C766A" w:rsidRDefault="003C7B7E" w:rsidP="00A67EAE">
            <w:r w:rsidRPr="000C766A">
              <w:t>Diseases of the gastrointestinal tract:</w:t>
            </w:r>
          </w:p>
          <w:p w14:paraId="024B6C89" w14:textId="77777777" w:rsidR="003C7B7E" w:rsidRPr="000C766A" w:rsidRDefault="003C7B7E" w:rsidP="00A67EAE">
            <w:r w:rsidRPr="000C766A">
              <w:t>Ulcerative colitis; regional enteritis.</w:t>
            </w:r>
          </w:p>
          <w:p w14:paraId="228F729A" w14:textId="77777777" w:rsidR="003C7B7E" w:rsidRPr="000C766A" w:rsidRDefault="003C7B7E" w:rsidP="00A67EAE">
            <w:r w:rsidRPr="000C766A">
              <w:t>Oncology:</w:t>
            </w:r>
          </w:p>
          <w:p w14:paraId="742C4594" w14:textId="77777777" w:rsidR="003C7B7E" w:rsidRDefault="003C7B7E" w:rsidP="00A67EAE">
            <w:r w:rsidRPr="000C766A">
              <w:t>As adjuvant therapy to improve the tolerability of chemotherapy.</w:t>
            </w:r>
          </w:p>
        </w:tc>
        <w:tc>
          <w:tcPr>
            <w:tcW w:w="3007" w:type="dxa"/>
          </w:tcPr>
          <w:p w14:paraId="6176221E" w14:textId="77777777" w:rsidR="003C7B7E" w:rsidRPr="000C766A" w:rsidRDefault="003C7B7E" w:rsidP="00A67EAE">
            <w:pPr>
              <w:jc w:val="both"/>
            </w:pPr>
            <w:r w:rsidRPr="00D772BC">
              <w:lastRenderedPageBreak/>
              <w:t>As a diagnostic aid in the assessment of suspected adrenocortical hypofunction.</w:t>
            </w:r>
          </w:p>
        </w:tc>
      </w:tr>
      <w:tr w:rsidR="003C7B7E" w14:paraId="7CB93481" w14:textId="77777777" w:rsidTr="000F5B90">
        <w:tc>
          <w:tcPr>
            <w:tcW w:w="3007" w:type="dxa"/>
          </w:tcPr>
          <w:p w14:paraId="2351956E" w14:textId="77777777" w:rsidR="003C7B7E" w:rsidRDefault="003C7B7E" w:rsidP="000F5B90">
            <w:r>
              <w:t>Dosage and Administration</w:t>
            </w:r>
          </w:p>
        </w:tc>
        <w:tc>
          <w:tcPr>
            <w:tcW w:w="3007" w:type="dxa"/>
          </w:tcPr>
          <w:p w14:paraId="0BDE6C2A" w14:textId="77777777" w:rsidR="003C7B7E" w:rsidRPr="000C766A" w:rsidRDefault="003C7B7E" w:rsidP="00A67EAE">
            <w:pPr>
              <w:jc w:val="both"/>
            </w:pPr>
            <w:r w:rsidRPr="000C766A">
              <w:t>30-minute Synacthen test:</w:t>
            </w:r>
          </w:p>
          <w:p w14:paraId="6EE83A82" w14:textId="16997100" w:rsidR="003C7B7E" w:rsidRPr="000C766A" w:rsidRDefault="003C7B7E" w:rsidP="00A67EAE">
            <w:pPr>
              <w:jc w:val="both"/>
            </w:pPr>
            <w:r w:rsidRPr="000C766A">
              <w:t>Plasma cortisol is measured immediately before and exactly 30 minutes after an injection of</w:t>
            </w:r>
            <w:r>
              <w:t xml:space="preserve"> </w:t>
            </w:r>
            <w:r w:rsidRPr="000C766A">
              <w:t xml:space="preserve">250 micrograms Synacthen </w:t>
            </w:r>
            <w:r w:rsidR="003A6C87">
              <w:t>I</w:t>
            </w:r>
            <w:r w:rsidRPr="000C766A">
              <w:t>.</w:t>
            </w:r>
            <w:r w:rsidR="003A6C87">
              <w:t>M</w:t>
            </w:r>
            <w:r w:rsidRPr="000C766A">
              <w:t xml:space="preserve">. or </w:t>
            </w:r>
            <w:r w:rsidR="003A6C87">
              <w:t>I</w:t>
            </w:r>
            <w:r w:rsidRPr="000C766A">
              <w:t>.</w:t>
            </w:r>
            <w:r w:rsidR="003A6C87">
              <w:t>V</w:t>
            </w:r>
            <w:r w:rsidRPr="000C766A">
              <w:t>. If plasma cortisol increases by &gt;200 nmol/L (70</w:t>
            </w:r>
            <w:r>
              <w:t xml:space="preserve"> </w:t>
            </w:r>
            <w:r w:rsidRPr="000C766A">
              <w:t xml:space="preserve">micrograms/L), i.e. if the value 30 minutes after </w:t>
            </w:r>
            <w:r w:rsidRPr="000C766A">
              <w:lastRenderedPageBreak/>
              <w:t>injection is &gt;500 nmol/L (180 micrograms/L),</w:t>
            </w:r>
            <w:r>
              <w:t xml:space="preserve"> </w:t>
            </w:r>
            <w:r w:rsidRPr="000C766A">
              <w:t>adrenocortical function is regarded as normal. All the plasma samples should be stored in a</w:t>
            </w:r>
            <w:r>
              <w:t xml:space="preserve"> </w:t>
            </w:r>
            <w:r w:rsidRPr="000C766A">
              <w:t>refrigerator kept until plasma cortisol level estimation.</w:t>
            </w:r>
          </w:p>
          <w:p w14:paraId="5E19705B" w14:textId="77777777" w:rsidR="003C7B7E" w:rsidRPr="000C766A" w:rsidRDefault="003C7B7E" w:rsidP="00A67EAE">
            <w:pPr>
              <w:jc w:val="both"/>
            </w:pPr>
            <w:r w:rsidRPr="000C766A">
              <w:t>Special populations:</w:t>
            </w:r>
          </w:p>
          <w:p w14:paraId="10F838E4" w14:textId="77777777" w:rsidR="003C7B7E" w:rsidRPr="000C766A" w:rsidRDefault="003C7B7E" w:rsidP="00A67EAE">
            <w:pPr>
              <w:jc w:val="both"/>
            </w:pPr>
            <w:r w:rsidRPr="000C766A">
              <w:t>Renal impairment:</w:t>
            </w:r>
          </w:p>
          <w:p w14:paraId="1DAB3089" w14:textId="77777777" w:rsidR="003C7B7E" w:rsidRPr="000C766A" w:rsidRDefault="003C7B7E" w:rsidP="00A67EAE">
            <w:pPr>
              <w:jc w:val="both"/>
            </w:pPr>
            <w:r w:rsidRPr="000C766A">
              <w:t>No studies have been performed in patients with renal impairment.</w:t>
            </w:r>
          </w:p>
          <w:p w14:paraId="4B71C9F7" w14:textId="77777777" w:rsidR="003C7B7E" w:rsidRPr="000C766A" w:rsidRDefault="003C7B7E" w:rsidP="00A67EAE">
            <w:pPr>
              <w:jc w:val="both"/>
            </w:pPr>
            <w:r w:rsidRPr="000C766A">
              <w:t>Hepatic impairment:</w:t>
            </w:r>
          </w:p>
          <w:p w14:paraId="675DEC88" w14:textId="77777777" w:rsidR="003C7B7E" w:rsidRPr="000C766A" w:rsidRDefault="003C7B7E" w:rsidP="00A67EAE">
            <w:pPr>
              <w:jc w:val="both"/>
            </w:pPr>
            <w:r w:rsidRPr="000C766A">
              <w:t>No studies have been performed in patients with hepatic impairment.</w:t>
            </w:r>
          </w:p>
          <w:p w14:paraId="19481B83" w14:textId="77777777" w:rsidR="003C7B7E" w:rsidRPr="000C766A" w:rsidRDefault="003C7B7E" w:rsidP="00A67EAE">
            <w:pPr>
              <w:jc w:val="both"/>
            </w:pPr>
            <w:r w:rsidRPr="000C766A">
              <w:t>Elderly patients: There is no such information available which would necessitate dosage</w:t>
            </w:r>
            <w:r>
              <w:t xml:space="preserve"> </w:t>
            </w:r>
            <w:r w:rsidRPr="000C766A">
              <w:t>modification in elderly (65 years of age and above).</w:t>
            </w:r>
          </w:p>
          <w:p w14:paraId="7E543EF6" w14:textId="77777777" w:rsidR="003C7B7E" w:rsidRPr="000C766A" w:rsidRDefault="003C7B7E" w:rsidP="00A67EAE">
            <w:pPr>
              <w:jc w:val="both"/>
            </w:pPr>
            <w:r w:rsidRPr="000C766A">
              <w:t>If the 30-minute test gives inconclusive results, or if the aim is to determine the functional</w:t>
            </w:r>
            <w:r>
              <w:t xml:space="preserve"> </w:t>
            </w:r>
            <w:r w:rsidRPr="000C766A">
              <w:t>reserve of the adrenal cortex, the 5-hour test may be performed using Synacthen Depot (see</w:t>
            </w:r>
            <w:r>
              <w:t xml:space="preserve"> </w:t>
            </w:r>
            <w:r w:rsidRPr="000C766A">
              <w:t>Synacthen Depot Data Sheet).</w:t>
            </w:r>
          </w:p>
          <w:p w14:paraId="0100636C" w14:textId="77777777" w:rsidR="003C7B7E" w:rsidRPr="000C766A" w:rsidRDefault="003C7B7E" w:rsidP="00A67EAE">
            <w:pPr>
              <w:jc w:val="both"/>
            </w:pPr>
            <w:r w:rsidRPr="000C766A">
              <w:t>Therapeutic use</w:t>
            </w:r>
          </w:p>
          <w:p w14:paraId="06F2EA0C" w14:textId="26C79EE9" w:rsidR="003C7B7E" w:rsidRDefault="003C7B7E" w:rsidP="00A67EAE">
            <w:pPr>
              <w:jc w:val="both"/>
            </w:pPr>
            <w:r w:rsidRPr="000C766A">
              <w:t xml:space="preserve">For therapeutic indications, Synacthen can be administered as an </w:t>
            </w:r>
            <w:r w:rsidR="003A6C87">
              <w:t>I</w:t>
            </w:r>
            <w:r w:rsidRPr="000C766A">
              <w:t>.</w:t>
            </w:r>
            <w:r w:rsidR="003A6C87">
              <w:t>V</w:t>
            </w:r>
            <w:r w:rsidRPr="000C766A">
              <w:t>. injection or as an infusion</w:t>
            </w:r>
            <w:r>
              <w:t xml:space="preserve"> </w:t>
            </w:r>
            <w:r w:rsidRPr="000C766A">
              <w:t>in glucose solution (5% or 12.5%) or NaCl (0.9%) (see also Pharmaceutical information)</w:t>
            </w:r>
          </w:p>
        </w:tc>
        <w:tc>
          <w:tcPr>
            <w:tcW w:w="3007" w:type="dxa"/>
          </w:tcPr>
          <w:p w14:paraId="30099099" w14:textId="77777777" w:rsidR="003C7B7E" w:rsidRDefault="003C7B7E" w:rsidP="00A67EAE">
            <w:pPr>
              <w:jc w:val="both"/>
            </w:pPr>
            <w:r w:rsidRPr="00D772BC">
              <w:lastRenderedPageBreak/>
              <w:t xml:space="preserve">Synacthen 30 Minute Test </w:t>
            </w:r>
          </w:p>
          <w:p w14:paraId="79FD126F" w14:textId="77777777" w:rsidR="003C7B7E" w:rsidRPr="000C766A" w:rsidRDefault="003C7B7E" w:rsidP="00A67EAE">
            <w:pPr>
              <w:jc w:val="both"/>
            </w:pPr>
            <w:r w:rsidRPr="00D772BC">
              <w:t xml:space="preserve">This test is based on the increase in plasma cortisol recorded 30 minutes after an intramuscular injection of Synacthen 250 micrograms. Two blood specimens should be taken, the first immediately before and the second exactly 30 minutes </w:t>
            </w:r>
            <w:r w:rsidRPr="00D772BC">
              <w:lastRenderedPageBreak/>
              <w:t>after the injection of Synacthen. If the plasma cortisol rises to at least 200 nanomoles/L (70 micrograms/L) above the initial level, or if the plasma cortisol level attained 30 minutes after injection exceeds 500 nanomoles/L (180 micrograms/L), irrespective of the basal level, then adrenocortical function can be regarded as normal.</w:t>
            </w:r>
          </w:p>
        </w:tc>
      </w:tr>
      <w:tr w:rsidR="003C7B7E" w14:paraId="3744AFB8" w14:textId="77777777" w:rsidTr="000F5B90">
        <w:tc>
          <w:tcPr>
            <w:tcW w:w="3007" w:type="dxa"/>
          </w:tcPr>
          <w:p w14:paraId="68202AFA" w14:textId="77777777" w:rsidR="003C7B7E" w:rsidRDefault="003C7B7E" w:rsidP="000F5B90">
            <w:r>
              <w:lastRenderedPageBreak/>
              <w:t>Contraindications</w:t>
            </w:r>
          </w:p>
        </w:tc>
        <w:tc>
          <w:tcPr>
            <w:tcW w:w="3007" w:type="dxa"/>
          </w:tcPr>
          <w:p w14:paraId="351DAB3D" w14:textId="77777777" w:rsidR="003C7B7E" w:rsidRDefault="003C7B7E" w:rsidP="00A67EAE">
            <w:pPr>
              <w:jc w:val="both"/>
            </w:pPr>
            <w:r w:rsidRPr="00855DD2">
              <w:t xml:space="preserve">Known hypersensitivity to tetracosactide and/or ACTH or to any of the excipients listed in section 6.1 List of excipients. </w:t>
            </w:r>
          </w:p>
          <w:p w14:paraId="4E3F04A6" w14:textId="77777777" w:rsidR="003C7B7E" w:rsidRDefault="003C7B7E" w:rsidP="00A67EAE">
            <w:pPr>
              <w:jc w:val="both"/>
            </w:pPr>
            <w:r w:rsidRPr="00855DD2">
              <w:lastRenderedPageBreak/>
              <w:t xml:space="preserve">Synacthen must not be used to treat asthma or other allergic conditions due to the increased risk of anaphylactic reactions (also see section 4.4 Special Warnings and precautions). </w:t>
            </w:r>
          </w:p>
          <w:p w14:paraId="62A224B3" w14:textId="77777777" w:rsidR="003C7B7E" w:rsidRDefault="003C7B7E" w:rsidP="00A67EAE">
            <w:pPr>
              <w:jc w:val="both"/>
            </w:pPr>
            <w:r w:rsidRPr="00855DD2">
              <w:t xml:space="preserve">Acute psychosis </w:t>
            </w:r>
          </w:p>
          <w:p w14:paraId="0166E36A" w14:textId="77777777" w:rsidR="003C7B7E" w:rsidRDefault="003C7B7E" w:rsidP="00A67EAE">
            <w:pPr>
              <w:jc w:val="both"/>
            </w:pPr>
            <w:r w:rsidRPr="00855DD2">
              <w:t xml:space="preserve">Infectious diseases. </w:t>
            </w:r>
          </w:p>
          <w:p w14:paraId="632EFAB3" w14:textId="77777777" w:rsidR="003C7B7E" w:rsidRDefault="003C7B7E" w:rsidP="00A67EAE">
            <w:pPr>
              <w:jc w:val="both"/>
            </w:pPr>
            <w:r w:rsidRPr="00855DD2">
              <w:t xml:space="preserve">Peptic ulcer. </w:t>
            </w:r>
          </w:p>
          <w:p w14:paraId="1C5490C7" w14:textId="77777777" w:rsidR="003C7B7E" w:rsidRDefault="003C7B7E" w:rsidP="00A67EAE">
            <w:pPr>
              <w:jc w:val="both"/>
            </w:pPr>
            <w:r w:rsidRPr="00855DD2">
              <w:t xml:space="preserve">Refractory heart failure.  </w:t>
            </w:r>
          </w:p>
          <w:p w14:paraId="7342E8DF" w14:textId="77777777" w:rsidR="003C7B7E" w:rsidRDefault="003C7B7E" w:rsidP="00A67EAE">
            <w:pPr>
              <w:jc w:val="both"/>
            </w:pPr>
            <w:r w:rsidRPr="00855DD2">
              <w:t xml:space="preserve">Cushing's syndrome.  </w:t>
            </w:r>
          </w:p>
          <w:p w14:paraId="68ECB742" w14:textId="77777777" w:rsidR="003C7B7E" w:rsidRDefault="003C7B7E" w:rsidP="00A67EAE">
            <w:pPr>
              <w:jc w:val="both"/>
            </w:pPr>
            <w:r w:rsidRPr="00855DD2">
              <w:t xml:space="preserve">Treatment of primary adrenocortical insufficiency. </w:t>
            </w:r>
          </w:p>
          <w:p w14:paraId="5C3F4FBE" w14:textId="77777777" w:rsidR="003C7B7E" w:rsidRPr="000C766A" w:rsidRDefault="003C7B7E" w:rsidP="00A67EAE">
            <w:pPr>
              <w:jc w:val="both"/>
            </w:pPr>
            <w:r w:rsidRPr="00855DD2">
              <w:t>Adrenogenital syndrome</w:t>
            </w:r>
          </w:p>
        </w:tc>
        <w:tc>
          <w:tcPr>
            <w:tcW w:w="3007" w:type="dxa"/>
          </w:tcPr>
          <w:p w14:paraId="03E31407" w14:textId="77777777" w:rsidR="003C7B7E" w:rsidRDefault="003C7B7E" w:rsidP="00A67EAE">
            <w:pPr>
              <w:jc w:val="both"/>
            </w:pPr>
            <w:r w:rsidRPr="00855DD2">
              <w:lastRenderedPageBreak/>
              <w:t xml:space="preserve">If the patient's case history discloses any record of hypersensitivity reactions to ACTH treatment, </w:t>
            </w:r>
            <w:r w:rsidRPr="00855DD2">
              <w:lastRenderedPageBreak/>
              <w:t xml:space="preserve">tetracosactrin must not be used. </w:t>
            </w:r>
          </w:p>
          <w:p w14:paraId="39840884" w14:textId="77777777" w:rsidR="003C7B7E" w:rsidRDefault="003C7B7E" w:rsidP="00A67EAE">
            <w:pPr>
              <w:jc w:val="both"/>
            </w:pPr>
            <w:r w:rsidRPr="00855DD2">
              <w:t xml:space="preserve">Hypersensitivity to tetracosactrin and / or ACTH of animal origin or to any component of the formulation. </w:t>
            </w:r>
          </w:p>
          <w:p w14:paraId="19477DBB" w14:textId="77777777" w:rsidR="003C7B7E" w:rsidRDefault="003C7B7E" w:rsidP="00A67EAE">
            <w:pPr>
              <w:jc w:val="both"/>
            </w:pPr>
            <w:r w:rsidRPr="00855DD2">
              <w:t xml:space="preserve">Synacthen must not be used to treat asthma or other allergic conditions due to the increased risk of anaphylactic reactions (also see PRECAUTIONS). </w:t>
            </w:r>
          </w:p>
          <w:p w14:paraId="66AF373D" w14:textId="77777777" w:rsidR="003C7B7E" w:rsidRDefault="003C7B7E" w:rsidP="00A67EAE">
            <w:pPr>
              <w:jc w:val="both"/>
            </w:pPr>
            <w:r w:rsidRPr="00855DD2">
              <w:t xml:space="preserve">Viral diseases or recent vaccination with live virus. </w:t>
            </w:r>
          </w:p>
          <w:p w14:paraId="6AE703DD" w14:textId="77777777" w:rsidR="003C7B7E" w:rsidRDefault="003C7B7E" w:rsidP="00A67EAE">
            <w:pPr>
              <w:jc w:val="both"/>
            </w:pPr>
            <w:r w:rsidRPr="00855DD2">
              <w:t xml:space="preserve">Acute psychoses. </w:t>
            </w:r>
          </w:p>
          <w:p w14:paraId="3B8C13EC" w14:textId="77777777" w:rsidR="003C7B7E" w:rsidRDefault="003C7B7E" w:rsidP="00A67EAE">
            <w:pPr>
              <w:jc w:val="both"/>
            </w:pPr>
            <w:r w:rsidRPr="00855DD2">
              <w:t xml:space="preserve">Infections (unless antibiotics are being administered at the same time). </w:t>
            </w:r>
          </w:p>
          <w:p w14:paraId="07E50819" w14:textId="77777777" w:rsidR="003C7B7E" w:rsidRDefault="003C7B7E" w:rsidP="00A67EAE">
            <w:pPr>
              <w:jc w:val="both"/>
            </w:pPr>
            <w:r w:rsidRPr="00855DD2">
              <w:t xml:space="preserve">Peptic ulcer. </w:t>
            </w:r>
          </w:p>
          <w:p w14:paraId="787465DE" w14:textId="77777777" w:rsidR="003C7B7E" w:rsidRDefault="003C7B7E" w:rsidP="00A67EAE">
            <w:pPr>
              <w:jc w:val="both"/>
            </w:pPr>
            <w:r w:rsidRPr="00855DD2">
              <w:t xml:space="preserve">Cushing's syndrome. </w:t>
            </w:r>
          </w:p>
          <w:p w14:paraId="2474FE18" w14:textId="77777777" w:rsidR="003C7B7E" w:rsidRPr="00D772BC" w:rsidRDefault="003C7B7E" w:rsidP="00A67EAE">
            <w:pPr>
              <w:jc w:val="both"/>
            </w:pPr>
            <w:r w:rsidRPr="00855DD2">
              <w:t>Heart failure (refractory).</w:t>
            </w:r>
          </w:p>
        </w:tc>
      </w:tr>
    </w:tbl>
    <w:p w14:paraId="08BD12EB" w14:textId="77777777" w:rsidR="003C7B7E" w:rsidRDefault="003C7B7E" w:rsidP="006303E0">
      <w:pPr>
        <w:pStyle w:val="ListParagraph"/>
        <w:spacing w:after="120"/>
        <w:ind w:left="0"/>
        <w:jc w:val="both"/>
        <w:rPr>
          <w:szCs w:val="24"/>
        </w:rPr>
      </w:pPr>
    </w:p>
    <w:p w14:paraId="4E6B7D75" w14:textId="77777777" w:rsidR="003C7B7E" w:rsidRDefault="003C7B7E" w:rsidP="006303E0">
      <w:pPr>
        <w:pStyle w:val="ListParagraph"/>
        <w:spacing w:after="120"/>
        <w:ind w:left="0"/>
        <w:jc w:val="both"/>
        <w:rPr>
          <w:szCs w:val="24"/>
        </w:rPr>
      </w:pPr>
    </w:p>
    <w:p w14:paraId="59939C50" w14:textId="6A474635" w:rsidR="00714019" w:rsidRPr="008F6228" w:rsidRDefault="00714019" w:rsidP="00714019">
      <w:pPr>
        <w:jc w:val="both"/>
        <w:rPr>
          <w:szCs w:val="24"/>
          <w:u w:val="single"/>
        </w:rPr>
      </w:pPr>
      <w:r w:rsidRPr="008F6228">
        <w:rPr>
          <w:szCs w:val="24"/>
        </w:rPr>
        <w:t xml:space="preserve">I trust the information provided is satisfactory. However, should you wish to discuss this application, please do not hesitate to contact </w:t>
      </w:r>
      <w:r w:rsidR="000F5B90">
        <w:rPr>
          <w:szCs w:val="24"/>
        </w:rPr>
        <w:t>the undersigned.</w:t>
      </w:r>
      <w:r w:rsidRPr="008F6228">
        <w:rPr>
          <w:szCs w:val="24"/>
          <w:u w:val="single"/>
        </w:rPr>
        <w:t xml:space="preserve">  </w:t>
      </w:r>
    </w:p>
    <w:p w14:paraId="0EE07F88" w14:textId="2C4B9D61" w:rsidR="00714019" w:rsidRDefault="00714019" w:rsidP="00714019">
      <w:pPr>
        <w:rPr>
          <w:szCs w:val="24"/>
        </w:rPr>
      </w:pPr>
    </w:p>
    <w:p w14:paraId="38AAA445" w14:textId="77777777" w:rsidR="000F5B90" w:rsidRPr="008F6228" w:rsidRDefault="000F5B90" w:rsidP="000F5B90">
      <w:pPr>
        <w:rPr>
          <w:szCs w:val="24"/>
        </w:rPr>
      </w:pPr>
      <w:r w:rsidRPr="008F6228">
        <w:rPr>
          <w:szCs w:val="24"/>
        </w:rPr>
        <w:t>Yours sincerely,</w:t>
      </w:r>
    </w:p>
    <w:p w14:paraId="6BE16AA7" w14:textId="41C56F65" w:rsidR="000F5B90" w:rsidRDefault="000F5B90" w:rsidP="00714019">
      <w:pPr>
        <w:rPr>
          <w:szCs w:val="24"/>
        </w:rPr>
      </w:pPr>
    </w:p>
    <w:tbl>
      <w:tblPr>
        <w:tblStyle w:val="TableGrid"/>
        <w:tblW w:w="0" w:type="auto"/>
        <w:tblLook w:val="04A0" w:firstRow="1" w:lastRow="0" w:firstColumn="1" w:lastColumn="0" w:noHBand="0" w:noVBand="1"/>
      </w:tblPr>
      <w:tblGrid>
        <w:gridCol w:w="4508"/>
        <w:gridCol w:w="4508"/>
      </w:tblGrid>
      <w:tr w:rsidR="000F5B90" w14:paraId="7004D49F" w14:textId="77777777" w:rsidTr="000F5B90">
        <w:tc>
          <w:tcPr>
            <w:tcW w:w="4508" w:type="dxa"/>
          </w:tcPr>
          <w:p w14:paraId="633304A2" w14:textId="77777777" w:rsidR="000F5B90" w:rsidRPr="008F6228" w:rsidRDefault="000F5B90" w:rsidP="000F5B90">
            <w:pPr>
              <w:rPr>
                <w:szCs w:val="24"/>
              </w:rPr>
            </w:pPr>
            <w:r w:rsidRPr="008F6228">
              <w:rPr>
                <w:szCs w:val="24"/>
              </w:rPr>
              <w:t>Juno Pharmaceuticals NZ Ltd</w:t>
            </w:r>
          </w:p>
          <w:p w14:paraId="3745AC4B" w14:textId="77777777" w:rsidR="000F5B90" w:rsidRPr="008F6228" w:rsidRDefault="000F5B90" w:rsidP="000F5B90">
            <w:pPr>
              <w:rPr>
                <w:szCs w:val="24"/>
              </w:rPr>
            </w:pPr>
          </w:p>
          <w:p w14:paraId="06EF933D" w14:textId="77777777" w:rsidR="000F5B90" w:rsidRPr="008F6228" w:rsidRDefault="000F5B90" w:rsidP="000F5B90">
            <w:pPr>
              <w:rPr>
                <w:szCs w:val="24"/>
              </w:rPr>
            </w:pPr>
          </w:p>
          <w:p w14:paraId="2FF04468" w14:textId="77777777" w:rsidR="000F5B90" w:rsidRPr="008F6228" w:rsidRDefault="000F5B90" w:rsidP="000F5B90">
            <w:pPr>
              <w:rPr>
                <w:szCs w:val="24"/>
              </w:rPr>
            </w:pPr>
          </w:p>
          <w:p w14:paraId="2F7D1AEE" w14:textId="77777777" w:rsidR="000F5B90" w:rsidRPr="008F6228" w:rsidRDefault="000F5B90" w:rsidP="000F5B90">
            <w:pPr>
              <w:rPr>
                <w:i/>
                <w:szCs w:val="24"/>
              </w:rPr>
            </w:pPr>
            <w:r w:rsidRPr="008F6228">
              <w:rPr>
                <w:i/>
                <w:szCs w:val="24"/>
              </w:rPr>
              <w:t>Senan Kiely</w:t>
            </w:r>
          </w:p>
          <w:p w14:paraId="6D7EEB6F" w14:textId="77777777" w:rsidR="000F5B90" w:rsidRPr="008F6228" w:rsidRDefault="000F5B90" w:rsidP="000F5B90">
            <w:pPr>
              <w:rPr>
                <w:i/>
                <w:szCs w:val="24"/>
              </w:rPr>
            </w:pPr>
            <w:r w:rsidRPr="008F6228">
              <w:rPr>
                <w:i/>
                <w:szCs w:val="24"/>
              </w:rPr>
              <w:t>Regulatory Affairs Manager</w:t>
            </w:r>
          </w:p>
          <w:p w14:paraId="391AEC66" w14:textId="2C3DFA04" w:rsidR="000F5B90" w:rsidRPr="008F6228" w:rsidRDefault="000F5B90" w:rsidP="000F5B90">
            <w:pPr>
              <w:rPr>
                <w:szCs w:val="24"/>
              </w:rPr>
            </w:pPr>
            <w:r w:rsidRPr="008F6228">
              <w:rPr>
                <w:szCs w:val="24"/>
              </w:rPr>
              <w:t>Ph.        +61 3 8888 1206</w:t>
            </w:r>
          </w:p>
          <w:p w14:paraId="58EBCE42" w14:textId="60AD316F" w:rsidR="000F5B90" w:rsidRPr="008F6228" w:rsidRDefault="000F5B90" w:rsidP="000F5B90">
            <w:pPr>
              <w:rPr>
                <w:szCs w:val="24"/>
              </w:rPr>
            </w:pPr>
            <w:r w:rsidRPr="008F6228">
              <w:rPr>
                <w:szCs w:val="24"/>
              </w:rPr>
              <w:t xml:space="preserve">Fax.       +61 3 </w:t>
            </w:r>
            <w:bookmarkStart w:id="0" w:name="_GoBack"/>
            <w:bookmarkEnd w:id="0"/>
            <w:r w:rsidRPr="008F6228">
              <w:rPr>
                <w:szCs w:val="24"/>
              </w:rPr>
              <w:t>8888 1299</w:t>
            </w:r>
          </w:p>
          <w:p w14:paraId="6954A592" w14:textId="77777777" w:rsidR="000F5B90" w:rsidRPr="008F6228" w:rsidRDefault="000F5B90" w:rsidP="000F5B90">
            <w:pPr>
              <w:rPr>
                <w:szCs w:val="24"/>
              </w:rPr>
            </w:pPr>
            <w:r w:rsidRPr="008F6228">
              <w:rPr>
                <w:szCs w:val="24"/>
              </w:rPr>
              <w:t xml:space="preserve">Email.  senan.kiely@junopharm.com.au.  </w:t>
            </w:r>
          </w:p>
          <w:p w14:paraId="406935ED" w14:textId="77777777" w:rsidR="000F5B90" w:rsidRDefault="000F5B90" w:rsidP="00714019">
            <w:pPr>
              <w:rPr>
                <w:szCs w:val="24"/>
              </w:rPr>
            </w:pPr>
          </w:p>
        </w:tc>
        <w:tc>
          <w:tcPr>
            <w:tcW w:w="4508" w:type="dxa"/>
          </w:tcPr>
          <w:p w14:paraId="3B5B6E12" w14:textId="77777777" w:rsidR="000F5B90" w:rsidRDefault="000F5B90" w:rsidP="00714019">
            <w:pPr>
              <w:rPr>
                <w:szCs w:val="24"/>
              </w:rPr>
            </w:pPr>
            <w:r>
              <w:rPr>
                <w:szCs w:val="24"/>
              </w:rPr>
              <w:t>Link Healthcare</w:t>
            </w:r>
          </w:p>
          <w:p w14:paraId="67FF1DA5" w14:textId="77777777" w:rsidR="007E0F7D" w:rsidRDefault="007E0F7D" w:rsidP="00714019">
            <w:pPr>
              <w:rPr>
                <w:szCs w:val="24"/>
              </w:rPr>
            </w:pPr>
          </w:p>
          <w:p w14:paraId="3319DFA0" w14:textId="77777777" w:rsidR="007E0F7D" w:rsidRDefault="007E0F7D" w:rsidP="00714019">
            <w:pPr>
              <w:rPr>
                <w:szCs w:val="24"/>
              </w:rPr>
            </w:pPr>
          </w:p>
          <w:p w14:paraId="063F9148" w14:textId="77777777" w:rsidR="007E0F7D" w:rsidRDefault="007E0F7D" w:rsidP="00714019">
            <w:pPr>
              <w:rPr>
                <w:szCs w:val="24"/>
              </w:rPr>
            </w:pPr>
          </w:p>
          <w:p w14:paraId="0624E770" w14:textId="77777777" w:rsidR="007E0F7D" w:rsidRDefault="007E0F7D" w:rsidP="00714019">
            <w:pPr>
              <w:rPr>
                <w:szCs w:val="24"/>
              </w:rPr>
            </w:pPr>
            <w:r>
              <w:rPr>
                <w:szCs w:val="24"/>
              </w:rPr>
              <w:t>Heather McNeill</w:t>
            </w:r>
          </w:p>
          <w:p w14:paraId="25D3A1EB" w14:textId="77777777" w:rsidR="007E0F7D" w:rsidRDefault="007E0F7D" w:rsidP="00714019">
            <w:pPr>
              <w:rPr>
                <w:szCs w:val="24"/>
              </w:rPr>
            </w:pPr>
            <w:r>
              <w:rPr>
                <w:szCs w:val="24"/>
              </w:rPr>
              <w:t>Manager New Zealand</w:t>
            </w:r>
          </w:p>
          <w:p w14:paraId="3FE4DD14" w14:textId="77777777" w:rsidR="007E0F7D" w:rsidRDefault="007E0F7D" w:rsidP="00714019">
            <w:pPr>
              <w:rPr>
                <w:szCs w:val="24"/>
              </w:rPr>
            </w:pPr>
          </w:p>
          <w:p w14:paraId="1F46890F" w14:textId="5C8CA358" w:rsidR="007E0F7D" w:rsidRDefault="007E0F7D" w:rsidP="00714019">
            <w:pPr>
              <w:rPr>
                <w:szCs w:val="24"/>
              </w:rPr>
            </w:pPr>
            <w:r>
              <w:rPr>
                <w:szCs w:val="24"/>
              </w:rPr>
              <w:t>Contact:</w:t>
            </w:r>
            <w:r w:rsidR="00284B0C">
              <w:rPr>
                <w:szCs w:val="24"/>
              </w:rPr>
              <w:t xml:space="preserve"> </w:t>
            </w:r>
            <w:r w:rsidR="00284B0C" w:rsidRPr="00284B0C">
              <w:rPr>
                <w:szCs w:val="24"/>
              </w:rPr>
              <w:t>Customer Service</w:t>
            </w:r>
            <w:r w:rsidR="00284B0C">
              <w:rPr>
                <w:szCs w:val="24"/>
              </w:rPr>
              <w:t xml:space="preserve"> </w:t>
            </w:r>
            <w:r w:rsidR="00284B0C" w:rsidRPr="00284B0C">
              <w:rPr>
                <w:szCs w:val="24"/>
              </w:rPr>
              <w:t>customerservice@linkgroup.com.au</w:t>
            </w:r>
          </w:p>
        </w:tc>
      </w:tr>
    </w:tbl>
    <w:p w14:paraId="4E4F50BB" w14:textId="77777777" w:rsidR="000F5B90" w:rsidRPr="008F6228" w:rsidRDefault="000F5B90" w:rsidP="00714019">
      <w:pPr>
        <w:rPr>
          <w:szCs w:val="24"/>
        </w:rPr>
      </w:pPr>
    </w:p>
    <w:p w14:paraId="55894F69" w14:textId="77777777" w:rsidR="00714019" w:rsidRPr="008F6228" w:rsidRDefault="00714019" w:rsidP="00714019">
      <w:pPr>
        <w:rPr>
          <w:szCs w:val="24"/>
        </w:rPr>
      </w:pPr>
    </w:p>
    <w:p w14:paraId="2ACF28FD" w14:textId="77777777" w:rsidR="00714019" w:rsidRPr="008F6228" w:rsidRDefault="00714019" w:rsidP="00714019">
      <w:pPr>
        <w:rPr>
          <w:szCs w:val="24"/>
        </w:rPr>
      </w:pPr>
    </w:p>
    <w:p w14:paraId="22064D5A" w14:textId="51B21274" w:rsidR="00FA7EE1" w:rsidRPr="004A2EA9" w:rsidRDefault="00FA7EE1" w:rsidP="004A2EA9"/>
    <w:sectPr w:rsidR="00FA7EE1" w:rsidRPr="004A2EA9" w:rsidSect="00982D52">
      <w:headerReference w:type="default" r:id="rId10"/>
      <w:footerReference w:type="default" r:id="rId11"/>
      <w:pgSz w:w="11906" w:h="16838"/>
      <w:pgMar w:top="2410" w:right="1440" w:bottom="1560" w:left="1440"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4B1D" w14:textId="77777777" w:rsidR="00C64087" w:rsidRDefault="00C64087" w:rsidP="008D3FF2">
      <w:r>
        <w:separator/>
      </w:r>
    </w:p>
  </w:endnote>
  <w:endnote w:type="continuationSeparator" w:id="0">
    <w:p w14:paraId="0C26CEB0" w14:textId="77777777" w:rsidR="00C64087" w:rsidRDefault="00C64087" w:rsidP="008D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STAR PRO Light">
    <w:altName w:val="Calibri"/>
    <w:panose1 w:val="02000806030000020004"/>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56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15878" w:rsidRPr="003E6399" w14:paraId="1C60BD02" w14:textId="77777777" w:rsidTr="001B6AB8">
      <w:tc>
        <w:tcPr>
          <w:tcW w:w="2551" w:type="dxa"/>
          <w:tcBorders>
            <w:left w:val="single" w:sz="4" w:space="0" w:color="0085CA"/>
            <w:right w:val="single" w:sz="4" w:space="0" w:color="0085CA"/>
          </w:tcBorders>
        </w:tcPr>
        <w:p w14:paraId="4FB210DC" w14:textId="77777777" w:rsidR="00A15878" w:rsidRPr="003E6399" w:rsidRDefault="00A15878" w:rsidP="00A15878">
          <w:pPr>
            <w:spacing w:line="276" w:lineRule="auto"/>
            <w:rPr>
              <w:rFonts w:ascii="TSTAR PRO Light" w:hAnsi="TSTAR PRO Light"/>
              <w:color w:val="0085CA"/>
              <w:sz w:val="16"/>
              <w:szCs w:val="16"/>
            </w:rPr>
          </w:pPr>
          <w:r w:rsidRPr="003E6399">
            <w:rPr>
              <w:rFonts w:ascii="TSTAR PRO Light" w:hAnsi="TSTAR PRO Light"/>
              <w:color w:val="0085CA"/>
              <w:sz w:val="16"/>
              <w:szCs w:val="16"/>
            </w:rPr>
            <w:t>Juno Pharmaceuticals NZ Pty Ltd</w:t>
          </w:r>
        </w:p>
      </w:tc>
      <w:tc>
        <w:tcPr>
          <w:tcW w:w="2552" w:type="dxa"/>
          <w:tcBorders>
            <w:left w:val="single" w:sz="4" w:space="0" w:color="0085CA"/>
            <w:right w:val="single" w:sz="4" w:space="0" w:color="0085CA"/>
          </w:tcBorders>
        </w:tcPr>
        <w:p w14:paraId="7D3DB23E" w14:textId="77777777" w:rsidR="00A15878" w:rsidRPr="003E6399" w:rsidRDefault="00A15878" w:rsidP="00A15878">
          <w:pPr>
            <w:spacing w:line="276" w:lineRule="auto"/>
            <w:rPr>
              <w:rFonts w:ascii="TSTAR PRO Light" w:hAnsi="TSTAR PRO Light"/>
              <w:color w:val="0085CA"/>
              <w:sz w:val="16"/>
              <w:szCs w:val="16"/>
            </w:rPr>
          </w:pPr>
          <w:r w:rsidRPr="003E6399">
            <w:rPr>
              <w:rFonts w:ascii="TSTAR PRO Light" w:hAnsi="TSTAR PRO Light"/>
              <w:color w:val="0085CA"/>
              <w:sz w:val="16"/>
              <w:szCs w:val="16"/>
            </w:rPr>
            <w:t>P O Box 76261</w:t>
          </w:r>
          <w:r>
            <w:rPr>
              <w:rFonts w:ascii="TSTAR PRO Light" w:hAnsi="TSTAR PRO Light"/>
              <w:color w:val="0085CA"/>
              <w:sz w:val="16"/>
              <w:szCs w:val="16"/>
            </w:rPr>
            <w:t xml:space="preserve">, </w:t>
          </w:r>
          <w:r w:rsidRPr="003E6399">
            <w:rPr>
              <w:rFonts w:ascii="TSTAR PRO Light" w:hAnsi="TSTAR PRO Light"/>
              <w:color w:val="0085CA"/>
              <w:sz w:val="16"/>
              <w:szCs w:val="16"/>
            </w:rPr>
            <w:t>Manukau City</w:t>
          </w:r>
        </w:p>
        <w:p w14:paraId="42EBEB0F" w14:textId="77777777" w:rsidR="00A15878" w:rsidRPr="003E6399" w:rsidRDefault="00A15878" w:rsidP="00A15878">
          <w:pPr>
            <w:spacing w:line="276" w:lineRule="auto"/>
            <w:rPr>
              <w:rFonts w:ascii="TSTAR PRO Light" w:hAnsi="TSTAR PRO Light"/>
              <w:color w:val="0085CA"/>
              <w:sz w:val="16"/>
              <w:szCs w:val="16"/>
            </w:rPr>
          </w:pPr>
          <w:r w:rsidRPr="003E6399">
            <w:rPr>
              <w:rFonts w:ascii="TSTAR PRO Light" w:hAnsi="TSTAR PRO Light"/>
              <w:color w:val="0085CA"/>
              <w:sz w:val="16"/>
              <w:szCs w:val="16"/>
            </w:rPr>
            <w:t>Auckland 2241, N</w:t>
          </w:r>
          <w:r>
            <w:rPr>
              <w:rFonts w:ascii="TSTAR PRO Light" w:hAnsi="TSTAR PRO Light"/>
              <w:color w:val="0085CA"/>
              <w:sz w:val="16"/>
              <w:szCs w:val="16"/>
            </w:rPr>
            <w:t xml:space="preserve">ew </w:t>
          </w:r>
          <w:r w:rsidRPr="003E6399">
            <w:rPr>
              <w:rFonts w:ascii="TSTAR PRO Light" w:hAnsi="TSTAR PRO Light"/>
              <w:color w:val="0085CA"/>
              <w:sz w:val="16"/>
              <w:szCs w:val="16"/>
            </w:rPr>
            <w:t>Z</w:t>
          </w:r>
          <w:r>
            <w:rPr>
              <w:rFonts w:ascii="TSTAR PRO Light" w:hAnsi="TSTAR PRO Light"/>
              <w:color w:val="0085CA"/>
              <w:sz w:val="16"/>
              <w:szCs w:val="16"/>
            </w:rPr>
            <w:t>ealand</w:t>
          </w:r>
        </w:p>
      </w:tc>
      <w:tc>
        <w:tcPr>
          <w:tcW w:w="2551" w:type="dxa"/>
          <w:tcBorders>
            <w:left w:val="single" w:sz="4" w:space="0" w:color="0085CA"/>
            <w:right w:val="single" w:sz="4" w:space="0" w:color="0085CA"/>
          </w:tcBorders>
        </w:tcPr>
        <w:p w14:paraId="6FA58613" w14:textId="77777777" w:rsidR="00A15878" w:rsidRPr="003E6399" w:rsidRDefault="00A15878" w:rsidP="00A15878">
          <w:pPr>
            <w:spacing w:line="276" w:lineRule="auto"/>
            <w:rPr>
              <w:rFonts w:ascii="TSTAR PRO Light" w:hAnsi="TSTAR PRO Light"/>
              <w:color w:val="0085CA"/>
              <w:sz w:val="16"/>
              <w:szCs w:val="16"/>
            </w:rPr>
          </w:pPr>
          <w:r w:rsidRPr="003E6399">
            <w:rPr>
              <w:rFonts w:ascii="TSTAR PRO Light" w:hAnsi="TSTAR PRO Light"/>
              <w:color w:val="0085CA"/>
              <w:sz w:val="16"/>
              <w:szCs w:val="16"/>
            </w:rPr>
            <w:t>P +61 3 8888 1206</w:t>
          </w:r>
        </w:p>
      </w:tc>
      <w:tc>
        <w:tcPr>
          <w:tcW w:w="2552" w:type="dxa"/>
          <w:tcBorders>
            <w:left w:val="single" w:sz="4" w:space="0" w:color="0085CA"/>
          </w:tcBorders>
        </w:tcPr>
        <w:p w14:paraId="3C1568C2" w14:textId="77777777" w:rsidR="00A15878" w:rsidRPr="003E6399" w:rsidRDefault="00A15878" w:rsidP="00A15878">
          <w:pPr>
            <w:spacing w:line="276" w:lineRule="auto"/>
            <w:rPr>
              <w:rFonts w:ascii="TSTAR PRO Light" w:hAnsi="TSTAR PRO Light"/>
              <w:color w:val="0085CA"/>
              <w:sz w:val="16"/>
              <w:szCs w:val="16"/>
            </w:rPr>
          </w:pPr>
          <w:r w:rsidRPr="003E6399">
            <w:rPr>
              <w:rFonts w:ascii="TSTAR PRO Light" w:hAnsi="TSTAR PRO Light"/>
              <w:color w:val="0085CA"/>
              <w:sz w:val="16"/>
              <w:szCs w:val="16"/>
            </w:rPr>
            <w:t>info@junopharm.com.au</w:t>
          </w:r>
        </w:p>
      </w:tc>
    </w:tr>
  </w:tbl>
  <w:p w14:paraId="73532F5A" w14:textId="2DE89BE9" w:rsidR="005A6BD8" w:rsidRPr="00A15878" w:rsidRDefault="005A6BD8" w:rsidP="00A15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00F0" w14:textId="77777777" w:rsidR="00C64087" w:rsidRDefault="00C64087" w:rsidP="008D3FF2">
      <w:r>
        <w:separator/>
      </w:r>
    </w:p>
  </w:footnote>
  <w:footnote w:type="continuationSeparator" w:id="0">
    <w:p w14:paraId="4AD00850" w14:textId="77777777" w:rsidR="00C64087" w:rsidRDefault="00C64087" w:rsidP="008D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0E4D" w14:textId="77777777" w:rsidR="008D3FF2" w:rsidRDefault="008D3FF2" w:rsidP="008D3FF2">
    <w:pPr>
      <w:pStyle w:val="Header"/>
      <w:jc w:val="right"/>
    </w:pPr>
    <w:r>
      <w:rPr>
        <w:noProof/>
      </w:rPr>
      <w:drawing>
        <wp:anchor distT="0" distB="0" distL="114300" distR="114300" simplePos="0" relativeHeight="251658240" behindDoc="1" locked="0" layoutInCell="1" allowOverlap="1" wp14:anchorId="1CFB5B51" wp14:editId="71EAFD81">
          <wp:simplePos x="0" y="0"/>
          <wp:positionH relativeFrom="column">
            <wp:posOffset>4438650</wp:posOffset>
          </wp:positionH>
          <wp:positionV relativeFrom="paragraph">
            <wp:posOffset>26670</wp:posOffset>
          </wp:positionV>
          <wp:extent cx="1800000" cy="708620"/>
          <wp:effectExtent l="0" t="0" r="0" b="0"/>
          <wp:wrapNone/>
          <wp:docPr id="6" name="Picture 6" descr="C:\Users\Stephanie Humphries\AppData\Local\Microsoft\Windows\INetCache\Content.Word\JUNO LOGO_T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 Humphries\AppData\Local\Microsoft\Windows\INetCache\Content.Word\JUNO LOGO_TM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0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F2C18"/>
    <w:multiLevelType w:val="hybridMultilevel"/>
    <w:tmpl w:val="99D28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DD5402"/>
    <w:multiLevelType w:val="hybridMultilevel"/>
    <w:tmpl w:val="28C68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A25173"/>
    <w:multiLevelType w:val="hybridMultilevel"/>
    <w:tmpl w:val="C234C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321B01"/>
    <w:multiLevelType w:val="hybridMultilevel"/>
    <w:tmpl w:val="B74C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F2"/>
    <w:rsid w:val="0001095E"/>
    <w:rsid w:val="000E5B84"/>
    <w:rsid w:val="000E6529"/>
    <w:rsid w:val="000F5B90"/>
    <w:rsid w:val="001215A4"/>
    <w:rsid w:val="00135C90"/>
    <w:rsid w:val="0015179F"/>
    <w:rsid w:val="00191A32"/>
    <w:rsid w:val="001B6641"/>
    <w:rsid w:val="001D5FDB"/>
    <w:rsid w:val="001D7D4B"/>
    <w:rsid w:val="001E26C2"/>
    <w:rsid w:val="002035F7"/>
    <w:rsid w:val="0021396D"/>
    <w:rsid w:val="00274199"/>
    <w:rsid w:val="00284B0C"/>
    <w:rsid w:val="002C1C41"/>
    <w:rsid w:val="002C563F"/>
    <w:rsid w:val="002E4BB1"/>
    <w:rsid w:val="002E585B"/>
    <w:rsid w:val="003126EF"/>
    <w:rsid w:val="00352C8C"/>
    <w:rsid w:val="003A6C87"/>
    <w:rsid w:val="003C1EEA"/>
    <w:rsid w:val="003C2447"/>
    <w:rsid w:val="003C7B7E"/>
    <w:rsid w:val="00426BFD"/>
    <w:rsid w:val="004A2EA9"/>
    <w:rsid w:val="004B489D"/>
    <w:rsid w:val="004C4866"/>
    <w:rsid w:val="004F791C"/>
    <w:rsid w:val="00581B48"/>
    <w:rsid w:val="00591C11"/>
    <w:rsid w:val="005A6BD8"/>
    <w:rsid w:val="005B0A99"/>
    <w:rsid w:val="005B3A9B"/>
    <w:rsid w:val="005F1F66"/>
    <w:rsid w:val="006303E0"/>
    <w:rsid w:val="00664766"/>
    <w:rsid w:val="00700966"/>
    <w:rsid w:val="0071380B"/>
    <w:rsid w:val="00714019"/>
    <w:rsid w:val="00760E1C"/>
    <w:rsid w:val="00786B07"/>
    <w:rsid w:val="007A52A7"/>
    <w:rsid w:val="007C0926"/>
    <w:rsid w:val="007E0F7D"/>
    <w:rsid w:val="007F2710"/>
    <w:rsid w:val="008163DA"/>
    <w:rsid w:val="008560C0"/>
    <w:rsid w:val="00894A66"/>
    <w:rsid w:val="008C3D3C"/>
    <w:rsid w:val="008D3FF2"/>
    <w:rsid w:val="0094011B"/>
    <w:rsid w:val="00956533"/>
    <w:rsid w:val="0096604D"/>
    <w:rsid w:val="0097485F"/>
    <w:rsid w:val="00982D52"/>
    <w:rsid w:val="009B6A36"/>
    <w:rsid w:val="009E1684"/>
    <w:rsid w:val="009F7E29"/>
    <w:rsid w:val="00A15878"/>
    <w:rsid w:val="00A476C2"/>
    <w:rsid w:val="00A605B7"/>
    <w:rsid w:val="00A84C4F"/>
    <w:rsid w:val="00AD7E86"/>
    <w:rsid w:val="00B05031"/>
    <w:rsid w:val="00B303AD"/>
    <w:rsid w:val="00B32B19"/>
    <w:rsid w:val="00B40627"/>
    <w:rsid w:val="00B56D6F"/>
    <w:rsid w:val="00B61398"/>
    <w:rsid w:val="00BC4965"/>
    <w:rsid w:val="00BD69C3"/>
    <w:rsid w:val="00C27C99"/>
    <w:rsid w:val="00C313A6"/>
    <w:rsid w:val="00C37C06"/>
    <w:rsid w:val="00C64087"/>
    <w:rsid w:val="00C90AD7"/>
    <w:rsid w:val="00C93F4D"/>
    <w:rsid w:val="00CB1616"/>
    <w:rsid w:val="00CB316E"/>
    <w:rsid w:val="00D34D05"/>
    <w:rsid w:val="00DE1176"/>
    <w:rsid w:val="00E05F61"/>
    <w:rsid w:val="00E2070E"/>
    <w:rsid w:val="00E65FE0"/>
    <w:rsid w:val="00E73E87"/>
    <w:rsid w:val="00E767BB"/>
    <w:rsid w:val="00E96C43"/>
    <w:rsid w:val="00EB23CA"/>
    <w:rsid w:val="00ED7A3E"/>
    <w:rsid w:val="00F27F4D"/>
    <w:rsid w:val="00F34639"/>
    <w:rsid w:val="00F367B9"/>
    <w:rsid w:val="00F373B1"/>
    <w:rsid w:val="00F91A7D"/>
    <w:rsid w:val="00FA7EE1"/>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2EDB"/>
  <w15:chartTrackingRefBased/>
  <w15:docId w15:val="{092A3839-819B-4652-9DFA-3046CEB3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D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FF2"/>
    <w:pPr>
      <w:tabs>
        <w:tab w:val="center" w:pos="4513"/>
        <w:tab w:val="right" w:pos="9026"/>
      </w:tabs>
    </w:pPr>
  </w:style>
  <w:style w:type="character" w:customStyle="1" w:styleId="HeaderChar">
    <w:name w:val="Header Char"/>
    <w:basedOn w:val="DefaultParagraphFont"/>
    <w:link w:val="Header"/>
    <w:uiPriority w:val="99"/>
    <w:rsid w:val="008D3FF2"/>
  </w:style>
  <w:style w:type="paragraph" w:styleId="Footer">
    <w:name w:val="footer"/>
    <w:basedOn w:val="Normal"/>
    <w:link w:val="FooterChar"/>
    <w:uiPriority w:val="99"/>
    <w:unhideWhenUsed/>
    <w:rsid w:val="008D3FF2"/>
    <w:pPr>
      <w:tabs>
        <w:tab w:val="center" w:pos="4513"/>
        <w:tab w:val="right" w:pos="9026"/>
      </w:tabs>
    </w:pPr>
  </w:style>
  <w:style w:type="character" w:customStyle="1" w:styleId="FooterChar">
    <w:name w:val="Footer Char"/>
    <w:basedOn w:val="DefaultParagraphFont"/>
    <w:link w:val="Footer"/>
    <w:uiPriority w:val="99"/>
    <w:rsid w:val="008D3FF2"/>
  </w:style>
  <w:style w:type="paragraph" w:styleId="BalloonText">
    <w:name w:val="Balloon Text"/>
    <w:basedOn w:val="Normal"/>
    <w:link w:val="BalloonTextChar"/>
    <w:uiPriority w:val="99"/>
    <w:semiHidden/>
    <w:unhideWhenUsed/>
    <w:rsid w:val="008D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F2"/>
    <w:rPr>
      <w:rFonts w:ascii="Segoe UI" w:hAnsi="Segoe UI" w:cs="Segoe UI"/>
      <w:sz w:val="18"/>
      <w:szCs w:val="18"/>
    </w:rPr>
  </w:style>
  <w:style w:type="paragraph" w:styleId="ListParagraph">
    <w:name w:val="List Paragraph"/>
    <w:basedOn w:val="Normal"/>
    <w:uiPriority w:val="34"/>
    <w:qFormat/>
    <w:rsid w:val="004B489D"/>
    <w:pPr>
      <w:ind w:left="720"/>
      <w:contextualSpacing/>
    </w:pPr>
  </w:style>
  <w:style w:type="character" w:styleId="Hyperlink">
    <w:name w:val="Hyperlink"/>
    <w:basedOn w:val="DefaultParagraphFont"/>
    <w:uiPriority w:val="99"/>
    <w:unhideWhenUsed/>
    <w:rsid w:val="008163DA"/>
    <w:rPr>
      <w:color w:val="0563C1" w:themeColor="hyperlink"/>
      <w:u w:val="single"/>
    </w:rPr>
  </w:style>
  <w:style w:type="paragraph" w:customStyle="1" w:styleId="Paragraph">
    <w:name w:val="Paragraph"/>
    <w:rsid w:val="008163DA"/>
    <w:pPr>
      <w:spacing w:after="24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F6C183AAD394DB3A2C084F45318D1" ma:contentTypeVersion="23" ma:contentTypeDescription="Create a new document." ma:contentTypeScope="" ma:versionID="92b1bb7285172411f70a12c95dde02c1">
  <xsd:schema xmlns:xsd="http://www.w3.org/2001/XMLSchema" xmlns:xs="http://www.w3.org/2001/XMLSchema" xmlns:p="http://schemas.microsoft.com/office/2006/metadata/properties" xmlns:ns2="8e4b3b41-e143-4aeb-ac36-73756b88f981" xmlns:ns3="2c93bfc9-2083-4754-aeb9-25799c06f071" xmlns:ns4="d1632a2c-85d8-4a74-9387-285eb6bf030f" targetNamespace="http://schemas.microsoft.com/office/2006/metadata/properties" ma:root="true" ma:fieldsID="ecef0566543e6a0b11a141cfc6591c9b" ns2:_="" ns3:_="" ns4:_="">
    <xsd:import namespace="8e4b3b41-e143-4aeb-ac36-73756b88f981"/>
    <xsd:import namespace="2c93bfc9-2083-4754-aeb9-25799c06f071"/>
    <xsd:import namespace="d1632a2c-85d8-4a74-9387-285eb6bf030f"/>
    <xsd:element name="properties">
      <xsd:complexType>
        <xsd:sequence>
          <xsd:element name="documentManagement">
            <xsd:complexType>
              <xsd:all>
                <xsd:element ref="ns2:g0644158a4e44d1b883f3233ae4b853a" minOccurs="0"/>
                <xsd:element ref="ns3:TaxCatchAll" minOccurs="0"/>
                <xsd:element ref="ns2:paf487880452475298d8d247fbd01348" minOccurs="0"/>
                <xsd:element ref="ns4:SharedWithUsers" minOccurs="0"/>
                <xsd:element ref="ns4:SharedWithDetails" minOccurs="0"/>
                <xsd:element ref="ns2:Report" minOccurs="0"/>
                <xsd:element ref="ns2:Date" minOccurs="0"/>
                <xsd:element ref="ns2:b7391f98f5fe48e1b8d4f27e2e6279e9"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Test"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b3b41-e143-4aeb-ac36-73756b88f981" elementFormDefault="qualified">
    <xsd:import namespace="http://schemas.microsoft.com/office/2006/documentManagement/types"/>
    <xsd:import namespace="http://schemas.microsoft.com/office/infopath/2007/PartnerControls"/>
    <xsd:element name="g0644158a4e44d1b883f3233ae4b853a" ma:index="9" nillable="true" ma:taxonomy="true" ma:internalName="g0644158a4e44d1b883f3233ae4b853a" ma:taxonomyFieldName="Document_x0020_Type" ma:displayName="Document Type" ma:indexed="true" ma:default="" ma:fieldId="{00644158-a4e4-4d1b-883f-3233ae4b853a}" ma:sspId="11a49e88-b00d-4383-a113-96ac431206ce" ma:termSetId="a88af0b8-f640-4977-916e-5704b2f1a38e" ma:anchorId="00000000-0000-0000-0000-000000000000" ma:open="true" ma:isKeyword="false">
      <xsd:complexType>
        <xsd:sequence>
          <xsd:element ref="pc:Terms" minOccurs="0" maxOccurs="1"/>
        </xsd:sequence>
      </xsd:complexType>
    </xsd:element>
    <xsd:element name="paf487880452475298d8d247fbd01348" ma:index="12" nillable="true" ma:taxonomy="true" ma:internalName="paf487880452475298d8d247fbd01348" ma:taxonomyFieldName="Country" ma:displayName="Country" ma:default="" ma:fieldId="{9af48788-0452-4752-98d8-d247fbd01348}" ma:sspId="11a49e88-b00d-4383-a113-96ac431206ce" ma:termSetId="3c00896c-df42-481d-8903-d486894e7904" ma:anchorId="00000000-0000-0000-0000-000000000000" ma:open="true" ma:isKeyword="false">
      <xsd:complexType>
        <xsd:sequence>
          <xsd:element ref="pc:Terms" minOccurs="0" maxOccurs="1"/>
        </xsd:sequence>
      </xsd:complexType>
    </xsd:element>
    <xsd:element name="Report" ma:index="15" nillable="true" ma:displayName="Staff Members Name" ma:description="Conference Report" ma:format="Dropdown" ma:internalName="Report">
      <xsd:simpleType>
        <xsd:union memberTypes="dms:Text">
          <xsd:simpleType>
            <xsd:restriction base="dms:Choice">
              <xsd:enumeration value="Alan Hawkins"/>
              <xsd:enumeration value="Amanda Whitehead"/>
              <xsd:enumeration value="Ankita Khare"/>
              <xsd:enumeration value="Anthony Mason"/>
              <xsd:enumeration value="Ciara Copeman-Hill"/>
              <xsd:enumeration value="Deborah Brown"/>
              <xsd:enumeration value="Heather McNeill"/>
              <xsd:enumeration value="Janet Coleman"/>
              <xsd:enumeration value="Julie Gosper"/>
              <xsd:enumeration value="Michelle Hobbins"/>
              <xsd:enumeration value="Nicci Makin"/>
              <xsd:enumeration value="Paul Dineen"/>
              <xsd:enumeration value="Sabrina De Miranda"/>
              <xsd:enumeration value="Sarsha Herd"/>
              <xsd:enumeration value="Simone Wagener"/>
              <xsd:enumeration value="Vicki Fisher"/>
              <xsd:enumeration value="Vikki Pennington"/>
            </xsd:restriction>
          </xsd:simpleType>
        </xsd:union>
      </xsd:simpleType>
    </xsd:element>
    <xsd:element name="Date" ma:index="16" nillable="true" ma:displayName="Date" ma:description="Date of Cycle meeting" ma:internalName="Date">
      <xsd:simpleType>
        <xsd:restriction base="dms:Text">
          <xsd:maxLength value="255"/>
        </xsd:restriction>
      </xsd:simpleType>
    </xsd:element>
    <xsd:element name="b7391f98f5fe48e1b8d4f27e2e6279e9" ma:index="18" nillable="true" ma:taxonomy="true" ma:internalName="b7391f98f5fe48e1b8d4f27e2e6279e9" ma:taxonomyFieldName="Product" ma:displayName="Product" ma:default="" ma:fieldId="{b7391f98-f5fe-48e1-b8d4-f27e2e6279e9}" ma:sspId="11a49e88-b00d-4383-a113-96ac431206ce" ma:termSetId="d444c80e-85fe-4ed5-9c8a-f00c3655e74a" ma:anchorId="00000000-0000-0000-0000-000000000000" ma:open="true" ma:isKeyword="false">
      <xsd:complexType>
        <xsd:sequence>
          <xsd:element ref="pc:Terms" minOccurs="0" maxOccurs="1"/>
        </xsd:sequence>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Test" ma:index="25" nillable="true" ma:displayName="Test" ma:internalName="Test">
      <xsd:simpleType>
        <xsd:restriction base="dms:Text">
          <xsd:maxLength value="255"/>
        </xsd:restriction>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3bfc9-2083-4754-aeb9-25799c06f071"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17c1d2b-82ec-4904-b805-abe8ce24e7ba}" ma:internalName="TaxCatchAll" ma:showField="CatchAllData" ma:web="2c93bfc9-2083-4754-aeb9-25799c06f0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32a2c-85d8-4a74-9387-285eb6bf03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0644158a4e44d1b883f3233ae4b853a xmlns="8e4b3b41-e143-4aeb-ac36-73756b88f981">
      <Terms xmlns="http://schemas.microsoft.com/office/infopath/2007/PartnerControls"/>
    </g0644158a4e44d1b883f3233ae4b853a>
    <Report xmlns="8e4b3b41-e143-4aeb-ac36-73756b88f981" xsi:nil="true"/>
    <TaxCatchAll xmlns="2c93bfc9-2083-4754-aeb9-25799c06f071"/>
    <Test xmlns="8e4b3b41-e143-4aeb-ac36-73756b88f981" xsi:nil="true"/>
    <paf487880452475298d8d247fbd01348 xmlns="8e4b3b41-e143-4aeb-ac36-73756b88f981">
      <Terms xmlns="http://schemas.microsoft.com/office/infopath/2007/PartnerControls"/>
    </paf487880452475298d8d247fbd01348>
    <Date xmlns="8e4b3b41-e143-4aeb-ac36-73756b88f981" xsi:nil="true"/>
    <b7391f98f5fe48e1b8d4f27e2e6279e9 xmlns="8e4b3b41-e143-4aeb-ac36-73756b88f981">
      <Terms xmlns="http://schemas.microsoft.com/office/infopath/2007/PartnerControls"/>
    </b7391f98f5fe48e1b8d4f27e2e6279e9>
  </documentManagement>
</p:properties>
</file>

<file path=customXml/itemProps1.xml><?xml version="1.0" encoding="utf-8"?>
<ds:datastoreItem xmlns:ds="http://schemas.openxmlformats.org/officeDocument/2006/customXml" ds:itemID="{F2B4ABFE-6758-42BF-8D84-0DBBC5082E16}">
  <ds:schemaRefs>
    <ds:schemaRef ds:uri="http://schemas.microsoft.com/sharepoint/v3/contenttype/forms"/>
  </ds:schemaRefs>
</ds:datastoreItem>
</file>

<file path=customXml/itemProps2.xml><?xml version="1.0" encoding="utf-8"?>
<ds:datastoreItem xmlns:ds="http://schemas.openxmlformats.org/officeDocument/2006/customXml" ds:itemID="{C75CDF23-705B-460E-A118-6254E869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b3b41-e143-4aeb-ac36-73756b88f981"/>
    <ds:schemaRef ds:uri="2c93bfc9-2083-4754-aeb9-25799c06f071"/>
    <ds:schemaRef ds:uri="d1632a2c-85d8-4a74-9387-285eb6bf0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A2A18-80BA-460D-A7BC-1E55A64B9CB8}">
  <ds:schemaRefs>
    <ds:schemaRef ds:uri="http://schemas.microsoft.com/office/2006/metadata/properties"/>
    <ds:schemaRef ds:uri="http://schemas.microsoft.com/office/infopath/2007/PartnerControls"/>
    <ds:schemaRef ds:uri="8e4b3b41-e143-4aeb-ac36-73756b88f981"/>
    <ds:schemaRef ds:uri="2c93bfc9-2083-4754-aeb9-25799c06f07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Humphries</dc:creator>
  <cp:keywords/>
  <dc:description/>
  <cp:lastModifiedBy>Senan Kiely</cp:lastModifiedBy>
  <cp:revision>2</cp:revision>
  <cp:lastPrinted>2017-11-21T23:02:00Z</cp:lastPrinted>
  <dcterms:created xsi:type="dcterms:W3CDTF">2019-07-24T06:47:00Z</dcterms:created>
  <dcterms:modified xsi:type="dcterms:W3CDTF">2019-07-24T06:47:00Z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0x01010043FF6C183AAD394DB3A2C084F45318D1</vt:lpwstr>
  </property>
  <property fmtid="{D5CDD505-2E9C-101B-9397-08002B2CF9AE}" pid="3" name="Country">
    <vt:lpwstr/>
  </property>
  <property fmtid="{D5CDD505-2E9C-101B-9397-08002B2CF9AE}" pid="4" name="Document Type">
    <vt:lpwstr/>
  </property>
  <property fmtid="{D5CDD505-2E9C-101B-9397-08002B2CF9AE}" pid="5" name="Product">
    <vt:lpwstr/>
  </property>
</Properties>
</file>